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3A" w:rsidRPr="00132035" w:rsidRDefault="0077032C" w:rsidP="001320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-2293620</wp:posOffset>
                </wp:positionH>
                <wp:positionV relativeFrom="paragraph">
                  <wp:posOffset>-909320</wp:posOffset>
                </wp:positionV>
                <wp:extent cx="7591425" cy="6410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6410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80.6pt;margin-top:-71.6pt;width:597.75pt;height:504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" fillcolor="#95b3d7 [1940]" strokecolor="#243f60 [1604]" strokeweight="2pt"/>
            </w:pict>
          </mc:Fallback>
        </mc:AlternateContent>
      </w:r>
      <w:r w:rsidR="00483A0C">
        <w:rPr>
          <w:noProof/>
        </w:rPr>
        <w:drawing>
          <wp:anchor distT="0" distB="0" distL="114300" distR="114300" simplePos="0" relativeHeight="251658240" behindDoc="0" locked="0" layoutInCell="1" allowOverlap="1" wp14:anchorId="688E6FF9" wp14:editId="3B6A9CB1">
            <wp:simplePos x="0" y="0"/>
            <wp:positionH relativeFrom="column">
              <wp:posOffset>3952875</wp:posOffset>
            </wp:positionH>
            <wp:positionV relativeFrom="paragraph">
              <wp:posOffset>133985</wp:posOffset>
            </wp:positionV>
            <wp:extent cx="1371600" cy="1174750"/>
            <wp:effectExtent l="0" t="0" r="0" b="6350"/>
            <wp:wrapSquare wrapText="bothSides"/>
            <wp:docPr id="3" name="Picture 3" descr="banco-mundi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banco-mundial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0C">
        <w:rPr>
          <w:noProof/>
        </w:rPr>
        <w:drawing>
          <wp:anchor distT="0" distB="0" distL="114300" distR="114300" simplePos="0" relativeHeight="251658240" behindDoc="0" locked="0" layoutInCell="1" allowOverlap="1" wp14:anchorId="5FE7F4E9" wp14:editId="60AB6E2D">
            <wp:simplePos x="0" y="0"/>
            <wp:positionH relativeFrom="column">
              <wp:posOffset>1320165</wp:posOffset>
            </wp:positionH>
            <wp:positionV relativeFrom="paragraph">
              <wp:posOffset>138430</wp:posOffset>
            </wp:positionV>
            <wp:extent cx="2400300" cy="714375"/>
            <wp:effectExtent l="0" t="0" r="0" b="9525"/>
            <wp:wrapSquare wrapText="bothSides"/>
            <wp:docPr id="4" name="Picture 4" descr="NUEVO LOGO UNIVER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NUEVO LOGO UNIVER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0C">
        <w:rPr>
          <w:noProof/>
        </w:rPr>
        <w:drawing>
          <wp:anchor distT="0" distB="0" distL="114300" distR="114300" simplePos="0" relativeHeight="251658240" behindDoc="0" locked="0" layoutInCell="1" allowOverlap="1" wp14:anchorId="33639AED" wp14:editId="0F3B3F28">
            <wp:simplePos x="0" y="0"/>
            <wp:positionH relativeFrom="column">
              <wp:posOffset>146685</wp:posOffset>
            </wp:positionH>
            <wp:positionV relativeFrom="paragraph">
              <wp:posOffset>138430</wp:posOffset>
            </wp:positionV>
            <wp:extent cx="942975" cy="934720"/>
            <wp:effectExtent l="0" t="0" r="9525" b="0"/>
            <wp:wrapSquare wrapText="bothSides"/>
            <wp:docPr id="5" name="Picture 5" descr="LOGO AZUL CI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 AZUL CIN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55" w:rsidRPr="00132035" w:rsidRDefault="004C1C55" w:rsidP="00132035">
      <w:pPr>
        <w:rPr>
          <w:rFonts w:ascii="Arial" w:hAnsi="Arial" w:cs="Arial"/>
          <w:b/>
          <w:sz w:val="36"/>
          <w:szCs w:val="36"/>
        </w:rPr>
      </w:pPr>
    </w:p>
    <w:p w:rsidR="004C1C55" w:rsidRPr="00132035" w:rsidRDefault="004C1C55" w:rsidP="00132035">
      <w:pPr>
        <w:rPr>
          <w:rFonts w:ascii="Arial" w:hAnsi="Arial" w:cs="Arial"/>
          <w:b/>
          <w:sz w:val="36"/>
          <w:szCs w:val="36"/>
        </w:rPr>
      </w:pPr>
    </w:p>
    <w:p w:rsidR="00C5723A" w:rsidRPr="00132035" w:rsidRDefault="00C5723A" w:rsidP="00132035">
      <w:r w:rsidRPr="00132035">
        <w:t xml:space="preserve">         </w:t>
      </w:r>
    </w:p>
    <w:p w:rsidR="00C5723A" w:rsidRPr="00132035" w:rsidRDefault="00C5723A" w:rsidP="00132035"/>
    <w:p w:rsidR="00C5723A" w:rsidRPr="00350646" w:rsidRDefault="00C5723A" w:rsidP="00132035">
      <w:r w:rsidRPr="00132035">
        <w:t xml:space="preserve">   </w:t>
      </w:r>
    </w:p>
    <w:p w:rsidR="00132035" w:rsidRPr="0077032C" w:rsidRDefault="00132035" w:rsidP="00483A0C">
      <w:pPr>
        <w:jc w:val="center"/>
        <w:rPr>
          <w:b/>
          <w:sz w:val="40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77032C">
        <w:rPr>
          <w:b/>
          <w:sz w:val="40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INFORME LA EDUCACIÓN SUPERIOR EN IBEROAMÉRICA 2011</w:t>
      </w:r>
    </w:p>
    <w:p w:rsidR="00483A0C" w:rsidRDefault="00483A0C" w:rsidP="00483A0C">
      <w:pPr>
        <w:jc w:val="center"/>
        <w:rPr>
          <w:b/>
          <w:sz w:val="22"/>
          <w:szCs w:val="36"/>
        </w:rPr>
      </w:pPr>
      <w:r w:rsidRPr="00483A0C">
        <w:rPr>
          <w:b/>
          <w:sz w:val="22"/>
          <w:szCs w:val="36"/>
        </w:rPr>
        <w:t xml:space="preserve">INFORME NACIONAL </w:t>
      </w:r>
      <w:r>
        <w:rPr>
          <w:b/>
          <w:sz w:val="22"/>
          <w:szCs w:val="36"/>
        </w:rPr>
        <w:t>–</w:t>
      </w:r>
      <w:r w:rsidRPr="00483A0C">
        <w:rPr>
          <w:b/>
          <w:sz w:val="22"/>
          <w:szCs w:val="36"/>
        </w:rPr>
        <w:t xml:space="preserve"> PORTUGAL</w:t>
      </w:r>
    </w:p>
    <w:p w:rsidR="00483A0C" w:rsidRPr="00483A0C" w:rsidRDefault="00483A0C" w:rsidP="00483A0C">
      <w:pPr>
        <w:jc w:val="center"/>
        <w:rPr>
          <w:b/>
          <w:sz w:val="22"/>
          <w:szCs w:val="36"/>
        </w:rPr>
      </w:pPr>
    </w:p>
    <w:p w:rsidR="00483A0C" w:rsidRDefault="0077032C" w:rsidP="00483A0C">
      <w:pPr>
        <w:jc w:val="center"/>
        <w:rPr>
          <w:color w:val="45556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9A3FE1" wp14:editId="11915423">
                <wp:simplePos x="0" y="0"/>
                <wp:positionH relativeFrom="column">
                  <wp:posOffset>-1080135</wp:posOffset>
                </wp:positionH>
                <wp:positionV relativeFrom="paragraph">
                  <wp:posOffset>1356360</wp:posOffset>
                </wp:positionV>
                <wp:extent cx="7591425" cy="4400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44005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85.05pt;margin-top:106.8pt;width:597.75pt;height:346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" fillcolor="#1f497d [3215]" strokecolor="#243f60 [1604]" strokeweight="2pt"/>
            </w:pict>
          </mc:Fallback>
        </mc:AlternateContent>
      </w:r>
      <w:r w:rsidR="00483A0C">
        <w:rPr>
          <w:rFonts w:ascii="Arial" w:hAnsi="Arial"/>
          <w:noProof/>
        </w:rPr>
        <w:drawing>
          <wp:inline distT="0" distB="0" distL="0" distR="0" wp14:anchorId="17AA155B" wp14:editId="73020C36">
            <wp:extent cx="2952750" cy="3686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ugal_desenho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A0C" w:rsidRDefault="00483A0C" w:rsidP="00483A0C">
      <w:pPr>
        <w:jc w:val="center"/>
        <w:rPr>
          <w:color w:val="45556A"/>
          <w:sz w:val="20"/>
          <w:szCs w:val="20"/>
        </w:rPr>
      </w:pPr>
    </w:p>
    <w:p w:rsidR="00483A0C" w:rsidRPr="0077032C" w:rsidRDefault="00483A0C" w:rsidP="00483A0C">
      <w:pPr>
        <w:jc w:val="center"/>
        <w:rPr>
          <w:color w:val="FFFFFF" w:themeColor="background1"/>
        </w:rPr>
      </w:pPr>
      <w:r w:rsidRPr="0077032C">
        <w:rPr>
          <w:color w:val="FFFFFF" w:themeColor="background1"/>
        </w:rPr>
        <w:t>Eduardo Pereira – Presidente do Conselho Pedagógico do IST</w:t>
      </w:r>
    </w:p>
    <w:p w:rsidR="00483A0C" w:rsidRPr="0077032C" w:rsidRDefault="00483A0C" w:rsidP="00483A0C">
      <w:pPr>
        <w:jc w:val="center"/>
        <w:rPr>
          <w:color w:val="FFFFFF" w:themeColor="background1"/>
        </w:rPr>
      </w:pPr>
      <w:r w:rsidRPr="0077032C">
        <w:rPr>
          <w:color w:val="FFFFFF" w:themeColor="background1"/>
        </w:rPr>
        <w:t>João Patrício - Área de Estudos e Planeamento do IST</w:t>
      </w:r>
    </w:p>
    <w:p w:rsidR="00483A0C" w:rsidRPr="0077032C" w:rsidRDefault="00483A0C" w:rsidP="00483A0C">
      <w:pPr>
        <w:jc w:val="center"/>
        <w:rPr>
          <w:color w:val="FFFFFF" w:themeColor="background1"/>
        </w:rPr>
      </w:pPr>
      <w:r w:rsidRPr="0077032C">
        <w:rPr>
          <w:color w:val="FFFFFF" w:themeColor="background1"/>
        </w:rPr>
        <w:t>Rui Mendes - Área de Estudos e Planeamento do IST</w:t>
      </w:r>
    </w:p>
    <w:p w:rsidR="006E691A" w:rsidRPr="00132035" w:rsidRDefault="006E691A" w:rsidP="00483A0C">
      <w:pPr>
        <w:jc w:val="center"/>
        <w:rPr>
          <w:rStyle w:val="StyleArialCustomColorRGB69"/>
        </w:rPr>
        <w:sectPr w:rsidR="006E691A" w:rsidRPr="00132035" w:rsidSect="00D46DEC">
          <w:headerReference w:type="default" r:id="rId13"/>
          <w:footerReference w:type="even" r:id="rId14"/>
          <w:footerReference w:type="default" r:id="rId15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3028D6" w:rsidRPr="00350646" w:rsidRDefault="003028D6" w:rsidP="0012289C">
      <w:pPr>
        <w:rPr>
          <w:color w:val="auto"/>
          <w:sz w:val="44"/>
        </w:rPr>
      </w:pPr>
      <w:bookmarkStart w:id="0" w:name="_Toc151438710"/>
      <w:r w:rsidRPr="00350646">
        <w:rPr>
          <w:color w:val="auto"/>
          <w:sz w:val="44"/>
        </w:rPr>
        <w:lastRenderedPageBreak/>
        <w:t>ÍNDICE</w:t>
      </w:r>
      <w:bookmarkEnd w:id="0"/>
    </w:p>
    <w:p w:rsidR="00350646" w:rsidRPr="00350646" w:rsidRDefault="00E12385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color w:val="auto"/>
          <w:sz w:val="24"/>
          <w:szCs w:val="24"/>
          <w:u w:val="none"/>
        </w:rPr>
      </w:pPr>
      <w:r w:rsidRPr="00350646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350646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TOC \o "1-4" \h \z \u </w:instrText>
      </w:r>
      <w:r w:rsidRPr="00350646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hyperlink w:anchor="_Toc290662650" w:history="1">
        <w:r w:rsidR="00350646" w:rsidRPr="00350646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Capítulo 1 - Acesso ao Ensino Superior</w:t>
        </w:r>
        <w:r w:rsidR="00350646"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ab/>
        </w:r>
        <w:r w:rsidR="00350646"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begin"/>
        </w:r>
        <w:r w:rsidR="00350646"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instrText xml:space="preserve"> PAGEREF _Toc290662650 \h </w:instrText>
        </w:r>
        <w:r w:rsidR="00350646"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</w:r>
        <w:r w:rsidR="00350646"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separate"/>
        </w:r>
        <w:r w:rsidR="007764AE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>6</w:t>
        </w:r>
        <w:r w:rsidR="00350646"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51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1 - Evolução da matrícula de formação graduada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_Toc290662651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6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52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2 - Evolução da matrícula de estudos pós-graduados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_Toc290662652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7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53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3 - Distribuição de matrículas entre os níveis Universitário e Politécnico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_Toc290662653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7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54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4 - Distribuição de matrículas total segundo as áreas de educação e formação por género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_Toc290662654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8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55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5 - Distribuição de matrículas por ensino superior público e privado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_Toc290662655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8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56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6 - Distribuição de matrículas total segundo as áreas de educação e formação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_Toc290662656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9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57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7 - Distribuição social da matrícula segundo a classe social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_Toc290662657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9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  <w:bookmarkStart w:id="1" w:name="_GoBack"/>
      <w:bookmarkEnd w:id="1"/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58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8 - Modificações recentes nas políticas e procedimentos de acesso ao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_Toc290662658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9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59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9 - Tendências do acesso ao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_Toc290662659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11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color w:val="auto"/>
          <w:sz w:val="24"/>
          <w:szCs w:val="24"/>
          <w:u w:val="none"/>
        </w:rPr>
      </w:pPr>
      <w:hyperlink w:anchor="_Toc290662660" w:history="1">
        <w:r w:rsidRPr="00350646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Capítulo 2 - Infra-estruturas institucionais do Ensino Superior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ab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begin"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instrText xml:space="preserve"> PAGEREF _Toc290662660 \h </w:instrTex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separate"/>
        </w:r>
        <w:r w:rsidR="007764AE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>12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61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1 - Evolução do número total de Instituições de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_Toc290662661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12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62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2 - Evolução do número de Instituições de Ensino Universitário e Politécnico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_Toc290662662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13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63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3 - Evolução do número de Instituições de Ensino Público e Privado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_Toc290662663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13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64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4 - Evolução do número de cursos oferecidos pelas Instituições Universitárias Públicas e Privadas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_Toc290662664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13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65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5 - Modificações recentes nas normas e práticas de criação e reconhecimento oficial de instituições de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_Toc290662665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14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66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6 - Tendências da evolução e modificações na plataforma institucional de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_Toc290662666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16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color w:val="auto"/>
          <w:sz w:val="24"/>
          <w:szCs w:val="24"/>
          <w:u w:val="none"/>
        </w:rPr>
      </w:pPr>
      <w:hyperlink w:anchor="_Toc290662667" w:history="1">
        <w:r w:rsidRPr="00350646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Capítulo 3 - Pessoal Docente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ab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begin"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instrText xml:space="preserve"> PAGEREF _Toc290662667 \h </w:instrTex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separate"/>
        </w:r>
        <w:r w:rsidR="007764AE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>17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68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1 - Número de docentes no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_Toc290662668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17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69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2 - Docentes no ensino universitário segundo o grau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_Toc290662669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17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70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3 - Descrição e avaliação das principais tendências do desenvolvimento do corpo docente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_Toc290662670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18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color w:val="auto"/>
          <w:sz w:val="24"/>
          <w:szCs w:val="24"/>
          <w:u w:val="none"/>
        </w:rPr>
      </w:pPr>
      <w:hyperlink w:anchor="_Toc290662671" w:history="1">
        <w:r w:rsidRPr="00350646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Capítulo 4 - Garantia da qualidade no ensino superior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ab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begin"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instrText xml:space="preserve"> PAGEREF _Toc290662671 \h </w:instrTex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separate"/>
        </w:r>
        <w:r w:rsidR="007764AE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>19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72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1 - Breve descrição da organização do Sistema Nacional de Garantia de Qualidade do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_Toc290662672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19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73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2 - Número de universidades e instituições de ensino superior e cursos de graduação e pós-graduação acreditados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_Toc290662673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20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74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3 - Modificações recentes na legislação, procedimentos e práticas de manutenção da qualidade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_Toc290662674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20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75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4 - Tendências da evolução do sistema de garantia de qualidade do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_Toc290662675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21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color w:val="auto"/>
          <w:sz w:val="24"/>
          <w:szCs w:val="24"/>
          <w:u w:val="none"/>
        </w:rPr>
      </w:pPr>
      <w:hyperlink w:anchor="_Toc290662676" w:history="1">
        <w:r w:rsidRPr="00350646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Capítulo 5 - Resultados do Ensino Superior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ab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begin"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instrText xml:space="preserve"> PAGEREF _Toc290662676 \h </w:instrTex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separate"/>
        </w:r>
        <w:r w:rsidR="007764AE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>22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77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1 - População adulta com formação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_Toc290662677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22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78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2 - Evolução do número de diplomados do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_Toc290662678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22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79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3 - Evolução do número de graduados do Ensino Superior por tipo de ensino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_Toc290662679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23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80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4 - Evolução do número de graduados do Ensino Superior por subsistema de ensino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_Toc290662680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23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81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5 - Evolução do número de graduados do Ensino Superior por áreas de conhecimento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_Toc290662681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24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82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6 - Taxas de sucesso e abandono no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_Toc290662682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24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83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7 - Descrição e avaliação das principais modificações e tendências nos diplomados do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_Toc290662683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24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84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8 - Os diplomados e o mercado de trabalho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_Toc290662684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25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color w:val="auto"/>
          <w:sz w:val="24"/>
          <w:szCs w:val="24"/>
          <w:u w:val="none"/>
        </w:rPr>
      </w:pPr>
      <w:hyperlink w:anchor="_Toc290662685" w:history="1">
        <w:r w:rsidRPr="00350646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Capítulo 6 - Governo e Gestão das Universidades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ab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begin"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instrText xml:space="preserve"> PAGEREF _Toc290662685 \h </w:instrTex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separate"/>
        </w:r>
        <w:r w:rsidR="007764AE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>27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86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1 - Breve descrição do sistema de governo do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_Toc290662686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27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87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2 - Breve descrição e avaliação das formas de governo e gestão das instituições de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_Toc290662687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27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color w:val="auto"/>
          <w:sz w:val="24"/>
          <w:szCs w:val="24"/>
          <w:u w:val="none"/>
        </w:rPr>
      </w:pPr>
      <w:hyperlink w:anchor="_Toc290662688" w:history="1">
        <w:r w:rsidRPr="00350646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Capítulo 7 - Financiamento do sistema de ensino superior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ab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begin"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instrText xml:space="preserve"> PAGEREF _Toc290662688 \h </w:instrTex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separate"/>
        </w:r>
        <w:r w:rsidR="007764AE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>30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89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1 - Breve descrição do esquema nacional de financiamento do ensino superior e ID&amp;I e a sua evolução recente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_Toc290662689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30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90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2 - Despesa anual, pública e privada no ensino superior em % do PIB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_Toc290662690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32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91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3 - Modalidades de atribuição dos recursos públicos às instituições de ensino superior públicas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_Toc290662691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32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92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4 - Descrição e quantificação de outras fontes de financiamento das universidades públicas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_Toc290662692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33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93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5 - Esquemas de financiamento de Bolsas e créditos estudantis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_Toc290662693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33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94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6 - Modificações recentes nas modalidades de financiamento das Instituições de Ensino Superior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_Toc290662694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34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95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7 - Financiamento público de instituições de ensino superior privadas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_Toc290662695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34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2"/>
        <w:tabs>
          <w:tab w:val="right" w:leader="dot" w:pos="8494"/>
        </w:tabs>
        <w:rPr>
          <w:rFonts w:eastAsiaTheme="minorEastAsia"/>
          <w:b w:val="0"/>
          <w:bCs w:val="0"/>
          <w:smallCaps w:val="0"/>
          <w:noProof/>
          <w:color w:val="auto"/>
          <w:sz w:val="24"/>
          <w:szCs w:val="24"/>
        </w:rPr>
      </w:pPr>
      <w:hyperlink w:anchor="_Toc290662696" w:history="1">
        <w:r w:rsidRPr="00350646">
          <w:rPr>
            <w:rStyle w:val="Hyperlink"/>
            <w:b w:val="0"/>
            <w:noProof/>
            <w:color w:val="auto"/>
            <w:sz w:val="24"/>
            <w:szCs w:val="24"/>
          </w:rPr>
          <w:t>8 - Análise das tendências e evolução dos modelos de financiamento do ensino superior.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tab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instrText xml:space="preserve"> PAGEREF _Toc290662696 \h </w:instrText>
        </w:r>
        <w:r w:rsidRPr="00350646">
          <w:rPr>
            <w:b w:val="0"/>
            <w:noProof/>
            <w:webHidden/>
            <w:color w:val="auto"/>
            <w:sz w:val="24"/>
            <w:szCs w:val="24"/>
          </w:rPr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7764AE">
          <w:rPr>
            <w:b w:val="0"/>
            <w:noProof/>
            <w:webHidden/>
            <w:color w:val="auto"/>
            <w:sz w:val="24"/>
            <w:szCs w:val="24"/>
          </w:rPr>
          <w:t>34</w:t>
        </w:r>
        <w:r w:rsidRPr="00350646">
          <w:rPr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color w:val="auto"/>
          <w:sz w:val="24"/>
          <w:szCs w:val="24"/>
          <w:u w:val="none"/>
        </w:rPr>
      </w:pPr>
      <w:hyperlink w:anchor="_Toc290662697" w:history="1">
        <w:r w:rsidRPr="00350646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Capítulo 8 - Síntese geral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ab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begin"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instrText xml:space="preserve"> PAGEREF _Toc290662697 \h </w:instrTex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separate"/>
        </w:r>
        <w:r w:rsidR="007764AE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>35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end"/>
        </w:r>
      </w:hyperlink>
    </w:p>
    <w:p w:rsidR="00350646" w:rsidRPr="00350646" w:rsidRDefault="00350646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color w:val="auto"/>
          <w:sz w:val="24"/>
          <w:szCs w:val="24"/>
          <w:u w:val="none"/>
        </w:rPr>
      </w:pPr>
      <w:hyperlink w:anchor="_Toc290662698" w:history="1">
        <w:r w:rsidRPr="00350646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Capítulo 9 - BIBLIOGRAFIA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ab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begin"/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instrText xml:space="preserve"> PAGEREF _Toc290662698 \h </w:instrTex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separate"/>
        </w:r>
        <w:r w:rsidR="007764AE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t>36</w:t>
        </w:r>
        <w:r w:rsidRPr="00350646">
          <w:rPr>
            <w:rFonts w:ascii="Times New Roman" w:hAnsi="Times New Roman" w:cs="Times New Roman"/>
            <w:b w:val="0"/>
            <w:webHidden/>
            <w:color w:val="auto"/>
            <w:sz w:val="24"/>
            <w:szCs w:val="24"/>
          </w:rPr>
          <w:fldChar w:fldCharType="end"/>
        </w:r>
      </w:hyperlink>
    </w:p>
    <w:p w:rsidR="003028D6" w:rsidRPr="00350646" w:rsidRDefault="00E12385" w:rsidP="0026308E">
      <w:pPr>
        <w:rPr>
          <w:rStyle w:val="StyleArialCustomColorRGB69"/>
          <w:rFonts w:ascii="Times New Roman" w:hAnsi="Times New Roman"/>
          <w:color w:val="auto"/>
        </w:rPr>
      </w:pPr>
      <w:r w:rsidRPr="00350646">
        <w:rPr>
          <w:bCs/>
          <w:caps/>
          <w:color w:val="auto"/>
          <w:u w:val="single"/>
        </w:rPr>
        <w:fldChar w:fldCharType="end"/>
      </w:r>
    </w:p>
    <w:p w:rsidR="009D5E5D" w:rsidRPr="00350646" w:rsidRDefault="009D5E5D" w:rsidP="000C592F">
      <w:pPr>
        <w:jc w:val="center"/>
        <w:rPr>
          <w:smallCaps/>
          <w:color w:val="auto"/>
        </w:rPr>
        <w:sectPr w:rsidR="009D5E5D" w:rsidRPr="00350646" w:rsidSect="000729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028D6" w:rsidRPr="009D5E5D" w:rsidRDefault="000C592F" w:rsidP="000C592F">
      <w:pPr>
        <w:jc w:val="center"/>
        <w:rPr>
          <w:b/>
          <w:smallCaps/>
          <w:color w:val="auto"/>
        </w:rPr>
      </w:pPr>
      <w:r w:rsidRPr="009D5E5D">
        <w:rPr>
          <w:b/>
          <w:smallCaps/>
          <w:color w:val="auto"/>
        </w:rPr>
        <w:t xml:space="preserve">Índice de </w:t>
      </w:r>
      <w:r w:rsidR="009D5E5D">
        <w:rPr>
          <w:b/>
          <w:smallCaps/>
          <w:color w:val="auto"/>
        </w:rPr>
        <w:t>Tabelas</w:t>
      </w:r>
    </w:p>
    <w:p w:rsidR="00CA5E2D" w:rsidRPr="005D20EA" w:rsidRDefault="00CA5E2D" w:rsidP="008C1AE0">
      <w:pPr>
        <w:pStyle w:val="TableofFigures"/>
        <w:tabs>
          <w:tab w:val="right" w:leader="dot" w:pos="8494"/>
        </w:tabs>
        <w:rPr>
          <w:rFonts w:ascii="Arial" w:hAnsi="Arial" w:cs="Arial"/>
          <w:b/>
          <w:i w:val="0"/>
          <w:iCs w:val="0"/>
          <w:smallCaps/>
          <w:color w:val="45556A"/>
          <w:sz w:val="28"/>
          <w:szCs w:val="28"/>
          <w:lang w:val="en-US"/>
        </w:rPr>
      </w:pPr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r>
        <w:rPr>
          <w:rFonts w:ascii="Arial" w:hAnsi="Arial" w:cs="Arial"/>
          <w:b/>
          <w:iCs w:val="0"/>
          <w:smallCaps/>
          <w:color w:val="45556A"/>
          <w:sz w:val="28"/>
          <w:szCs w:val="28"/>
          <w:lang w:val="en-US"/>
        </w:rPr>
        <w:fldChar w:fldCharType="begin"/>
      </w:r>
      <w:r>
        <w:rPr>
          <w:rFonts w:ascii="Arial" w:hAnsi="Arial" w:cs="Arial"/>
          <w:b/>
          <w:iCs w:val="0"/>
          <w:smallCaps/>
          <w:color w:val="45556A"/>
          <w:sz w:val="28"/>
          <w:szCs w:val="28"/>
          <w:lang w:val="en-US"/>
        </w:rPr>
        <w:instrText xml:space="preserve"> TOC \h \z \c "Tabela" </w:instrText>
      </w:r>
      <w:r>
        <w:rPr>
          <w:rFonts w:ascii="Arial" w:hAnsi="Arial" w:cs="Arial"/>
          <w:b/>
          <w:iCs w:val="0"/>
          <w:smallCaps/>
          <w:color w:val="45556A"/>
          <w:sz w:val="28"/>
          <w:szCs w:val="28"/>
          <w:lang w:val="en-US"/>
        </w:rPr>
        <w:fldChar w:fldCharType="separate"/>
      </w:r>
      <w:hyperlink w:anchor="_Toc290662020" w:history="1">
        <w:r w:rsidRPr="008065BF">
          <w:rPr>
            <w:rStyle w:val="Hyperlink"/>
            <w:noProof/>
          </w:rPr>
          <w:t>Tabela 1 - Evolução anual da matrícula de formação graduada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21" w:history="1">
        <w:r w:rsidRPr="008065BF">
          <w:rPr>
            <w:rStyle w:val="Hyperlink"/>
            <w:noProof/>
          </w:rPr>
          <w:t>Tabela 2 - Evolução anual da matrícula de formação pós-graduada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22" w:history="1">
        <w:r w:rsidRPr="008065BF">
          <w:rPr>
            <w:rStyle w:val="Hyperlink"/>
            <w:noProof/>
          </w:rPr>
          <w:t>Tabela 3 - Evolução anual da matrícula, segundo o tipo de ensino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23" w:history="1">
        <w:r w:rsidRPr="008065BF">
          <w:rPr>
            <w:rStyle w:val="Hyperlink"/>
            <w:noProof/>
          </w:rPr>
          <w:t>Tabela 4 - Evolução dos matriculados por área do conhecimento, segundo o género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24" w:history="1">
        <w:r w:rsidRPr="008065BF">
          <w:rPr>
            <w:rStyle w:val="Hyperlink"/>
            <w:noProof/>
          </w:rPr>
          <w:t>Tabela 5 - Evolução anual da matrícula, segundo a natureza de ensino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25" w:history="1">
        <w:r w:rsidRPr="008065BF">
          <w:rPr>
            <w:rStyle w:val="Hyperlink"/>
            <w:noProof/>
          </w:rPr>
          <w:t>Tabela 6 – Evolução do número total de Estabelecimentos de Ensino Superior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26" w:history="1">
        <w:r w:rsidRPr="008065BF">
          <w:rPr>
            <w:rStyle w:val="Hyperlink"/>
            <w:noProof/>
          </w:rPr>
          <w:t>Tabela 7 - Evolução do número total de Estabelecimentos de Ensino Superior, segundo o tipo de ensino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27" w:history="1">
        <w:r w:rsidRPr="008065BF">
          <w:rPr>
            <w:rStyle w:val="Hyperlink"/>
            <w:noProof/>
          </w:rPr>
          <w:t>Tabela 8 - Evolução do número total de Estabelecimentos de Ensino Superior, segundo a natureza de ensino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28" w:history="1">
        <w:r w:rsidRPr="008065BF">
          <w:rPr>
            <w:rStyle w:val="Hyperlink"/>
            <w:noProof/>
          </w:rPr>
          <w:t>Tabela 9 – Evolução do número de cursos de formação graduada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29" w:history="1">
        <w:r w:rsidRPr="008065BF">
          <w:rPr>
            <w:rStyle w:val="Hyperlink"/>
            <w:noProof/>
          </w:rPr>
          <w:t>Tabela 10 - Número de Docentes total segundo o tipo de instituição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30" w:history="1">
        <w:r w:rsidRPr="008065BF">
          <w:rPr>
            <w:rStyle w:val="Hyperlink"/>
            <w:noProof/>
          </w:rPr>
          <w:t>Tabela 11 - Distribuição dos docentes segundo Grau (Ensino Público)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31" w:history="1">
        <w:r w:rsidRPr="008065BF">
          <w:rPr>
            <w:rStyle w:val="Hyperlink"/>
            <w:noProof/>
          </w:rPr>
          <w:t>Tabela 12 - % da população adulta (mais de 15 anos) com formação superior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32" w:history="1">
        <w:r w:rsidRPr="008065BF">
          <w:rPr>
            <w:rStyle w:val="Hyperlink"/>
            <w:noProof/>
          </w:rPr>
          <w:t>Tabela 13 - Evolução anual do número de diplomados do ensino superior, segundo o grau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33" w:history="1">
        <w:r w:rsidRPr="008065BF">
          <w:rPr>
            <w:rStyle w:val="Hyperlink"/>
            <w:noProof/>
          </w:rPr>
          <w:t>Tabela 14 – Evolução anual do número de diplomados do ensino superior, segundo o tipo de ensino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D5E5D" w:rsidRDefault="009D5E5D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2"/>
          <w:szCs w:val="22"/>
        </w:rPr>
      </w:pPr>
      <w:hyperlink w:anchor="_Toc290662034" w:history="1">
        <w:r w:rsidRPr="008065BF">
          <w:rPr>
            <w:rStyle w:val="Hyperlink"/>
            <w:noProof/>
          </w:rPr>
          <w:t>Tabela 15– Evolução anual do número de diplomados do ensino superior, segundo a natureza de ensino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_Toc290662034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A5E2D" w:rsidRPr="005D20EA" w:rsidRDefault="009D5E5D" w:rsidP="000C592F">
      <w:pPr>
        <w:jc w:val="center"/>
        <w:rPr>
          <w:rFonts w:ascii="Arial" w:hAnsi="Arial" w:cs="Arial"/>
          <w:b/>
          <w:iCs/>
          <w:smallCaps/>
          <w:color w:val="45556A"/>
          <w:sz w:val="28"/>
          <w:szCs w:val="28"/>
          <w:lang w:val="en-US"/>
        </w:rPr>
      </w:pPr>
      <w:r>
        <w:rPr>
          <w:rFonts w:ascii="Arial" w:hAnsi="Arial" w:cs="Arial"/>
          <w:b/>
          <w:iCs/>
          <w:smallCaps/>
          <w:color w:val="45556A"/>
          <w:sz w:val="28"/>
          <w:szCs w:val="28"/>
          <w:lang w:val="en-US"/>
        </w:rPr>
        <w:fldChar w:fldCharType="end"/>
      </w:r>
    </w:p>
    <w:p w:rsidR="00CA5E2D" w:rsidRPr="005D20EA" w:rsidRDefault="00CA5E2D" w:rsidP="000C592F">
      <w:pPr>
        <w:jc w:val="center"/>
        <w:rPr>
          <w:rFonts w:ascii="Arial" w:hAnsi="Arial" w:cs="Arial"/>
          <w:b/>
          <w:iCs/>
          <w:smallCaps/>
          <w:color w:val="45556A"/>
          <w:sz w:val="28"/>
          <w:szCs w:val="28"/>
          <w:lang w:val="en-US"/>
        </w:rPr>
      </w:pPr>
    </w:p>
    <w:p w:rsidR="00CA5E2D" w:rsidRPr="005D20EA" w:rsidRDefault="00CA5E2D" w:rsidP="000C592F">
      <w:pPr>
        <w:jc w:val="center"/>
        <w:rPr>
          <w:rFonts w:ascii="Arial" w:hAnsi="Arial" w:cs="Arial"/>
          <w:b/>
          <w:color w:val="45556A"/>
          <w:sz w:val="28"/>
          <w:szCs w:val="28"/>
          <w:lang w:val="en-US"/>
        </w:rPr>
        <w:sectPr w:rsidR="00CA5E2D" w:rsidRPr="005D20EA" w:rsidSect="000729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028D6" w:rsidRDefault="003028D6" w:rsidP="0072333B">
      <w:pPr>
        <w:pStyle w:val="Tit1"/>
      </w:pPr>
      <w:bookmarkStart w:id="2" w:name="_Toc290662650"/>
      <w:r w:rsidRPr="0067058E">
        <w:t>Acesso ao Ensino Superior</w:t>
      </w:r>
      <w:bookmarkEnd w:id="2"/>
      <w:r w:rsidRPr="0067058E">
        <w:tab/>
      </w:r>
    </w:p>
    <w:p w:rsidR="00AB0B7B" w:rsidRPr="00132035" w:rsidRDefault="00AB0B7B" w:rsidP="00AB0B7B">
      <w:r w:rsidRPr="00132035">
        <w:t xml:space="preserve">Neste capítulo consideram-se as matrículas totais por grau, natureza de ensino e domínio de conhecimento, incluindo não só os matriculados de 1º ano, 1ª vez, mas todos os matriculados. </w:t>
      </w:r>
    </w:p>
    <w:p w:rsidR="0015219C" w:rsidRPr="00D02781" w:rsidRDefault="00AB0B7B" w:rsidP="00AB0B7B">
      <w:r w:rsidRPr="00132035">
        <w:t>A formação inicial em Portugal divide-se, actualmente, nos graus de licenciado</w:t>
      </w:r>
      <w:r>
        <w:t xml:space="preserve"> (1º ciclo) e mestrado (2º Ciclo) e doutoramento (3º Ciclo), </w:t>
      </w:r>
      <w:r w:rsidRPr="00132035">
        <w:t>ISCED 5</w:t>
      </w:r>
      <w:r>
        <w:t>B,</w:t>
      </w:r>
      <w:r w:rsidRPr="00132035">
        <w:t xml:space="preserve"> 5</w:t>
      </w:r>
      <w:r>
        <w:t>A</w:t>
      </w:r>
      <w:r w:rsidRPr="00132035">
        <w:t xml:space="preserve"> </w:t>
      </w:r>
      <w:r>
        <w:t xml:space="preserve">e 6 </w:t>
      </w:r>
      <w:r w:rsidRPr="00132035">
        <w:t xml:space="preserve">respectivamente. O </w:t>
      </w:r>
      <w:r>
        <w:t>Mestrado Integrado corresponde aos cursos com 1º e 2º Ciclo integrado, licenciatura e mestrado conjuntos. Estas alterações decorreram da implementação do Processo de Bolonha e levaram à extinção das antigas licenciaturas (ISCED 5A), Bacharelatos (ISCED 5B) e Mestrados</w:t>
      </w:r>
      <w:r w:rsidR="00E54A2C">
        <w:t xml:space="preserve"> (ISCED 6)</w:t>
      </w:r>
      <w:r>
        <w:t>. As instituições universitárias podem ministrar todos os ciclos de estudos e as instituições politécnicas não podem conceder os graus de doutoramento, ou seja, ministrar cursos pós-graduados de 3º ciclo.</w:t>
      </w:r>
    </w:p>
    <w:p w:rsidR="003028D6" w:rsidRPr="0067058E" w:rsidRDefault="003028D6" w:rsidP="00132035">
      <w:pPr>
        <w:pStyle w:val="Tit2"/>
      </w:pPr>
      <w:bookmarkStart w:id="3" w:name="_Toc290662651"/>
      <w:r w:rsidRPr="0067058E">
        <w:t>Evolução da matr</w:t>
      </w:r>
      <w:r w:rsidR="00D66C20" w:rsidRPr="0067058E">
        <w:t>í</w:t>
      </w:r>
      <w:r w:rsidRPr="0067058E">
        <w:t>cula</w:t>
      </w:r>
      <w:r w:rsidR="003E7C8A" w:rsidRPr="0067058E">
        <w:t xml:space="preserve"> de</w:t>
      </w:r>
      <w:r w:rsidRPr="0067058E">
        <w:t xml:space="preserve"> </w:t>
      </w:r>
      <w:r w:rsidR="003E7C8A" w:rsidRPr="0067058E">
        <w:t>f</w:t>
      </w:r>
      <w:r w:rsidR="00CF5D45" w:rsidRPr="0067058E">
        <w:t>ormação</w:t>
      </w:r>
      <w:r w:rsidR="003E7C8A" w:rsidRPr="0067058E">
        <w:t xml:space="preserve"> </w:t>
      </w:r>
      <w:r w:rsidR="005A4DF2">
        <w:t>graduada</w:t>
      </w:r>
      <w:bookmarkEnd w:id="3"/>
    </w:p>
    <w:p w:rsidR="003E35B1" w:rsidRPr="007A7D78" w:rsidRDefault="003E35B1" w:rsidP="007A7D78">
      <w:r w:rsidRPr="007A7D78">
        <w:t xml:space="preserve">A evolução </w:t>
      </w:r>
      <w:r w:rsidR="005650DA">
        <w:t xml:space="preserve">global </w:t>
      </w:r>
      <w:r w:rsidRPr="007A7D78">
        <w:t>do</w:t>
      </w:r>
      <w:r w:rsidR="003F717C" w:rsidRPr="007A7D78">
        <w:t xml:space="preserve"> número de</w:t>
      </w:r>
      <w:r w:rsidRPr="007A7D78">
        <w:t xml:space="preserve"> matriculados </w:t>
      </w:r>
      <w:r w:rsidR="005650DA">
        <w:t>de 1º ciclo</w:t>
      </w:r>
      <w:r w:rsidRPr="007A7D78">
        <w:t xml:space="preserve"> sofreu um</w:t>
      </w:r>
      <w:r w:rsidR="005650DA">
        <w:t>a</w:t>
      </w:r>
      <w:r w:rsidRPr="007A7D78">
        <w:t xml:space="preserve"> </w:t>
      </w:r>
      <w:r w:rsidR="005650DA">
        <w:t>diminuição</w:t>
      </w:r>
      <w:r w:rsidRPr="007A7D78">
        <w:t xml:space="preserve"> entre 200</w:t>
      </w:r>
      <w:r w:rsidR="005650DA">
        <w:t>5</w:t>
      </w:r>
      <w:r w:rsidRPr="007A7D78">
        <w:t xml:space="preserve"> e 20</w:t>
      </w:r>
      <w:r w:rsidR="005650DA">
        <w:t>1</w:t>
      </w:r>
      <w:r w:rsidRPr="007A7D78">
        <w:t>0</w:t>
      </w:r>
      <w:r w:rsidR="005650DA">
        <w:t>.</w:t>
      </w:r>
      <w:r w:rsidRPr="007A7D78">
        <w:t xml:space="preserve"> Já as matr</w:t>
      </w:r>
      <w:r w:rsidR="00D66C20" w:rsidRPr="007A7D78">
        <w:t>í</w:t>
      </w:r>
      <w:r w:rsidRPr="007A7D78">
        <w:t xml:space="preserve">culas em </w:t>
      </w:r>
      <w:r w:rsidR="005650DA">
        <w:t>Licenciaturas de 1º ciclo e Mestrados Integrados</w:t>
      </w:r>
      <w:r w:rsidRPr="007A7D78">
        <w:t xml:space="preserve"> </w:t>
      </w:r>
      <w:r w:rsidR="00B03375" w:rsidRPr="007A7D78">
        <w:t>cresceram</w:t>
      </w:r>
      <w:r w:rsidRPr="007A7D78">
        <w:t xml:space="preserve"> durante todo o período</w:t>
      </w:r>
      <w:r w:rsidR="00B03375" w:rsidRPr="007A7D78">
        <w:t xml:space="preserve"> analisado</w:t>
      </w:r>
      <w:r w:rsidR="002C4181" w:rsidRPr="007A7D78">
        <w:t xml:space="preserve">, </w:t>
      </w:r>
      <w:r w:rsidR="005650DA">
        <w:t xml:space="preserve">as restantes </w:t>
      </w:r>
      <w:r w:rsidR="00220B1F">
        <w:t>matrículas</w:t>
      </w:r>
      <w:r w:rsidR="005650DA">
        <w:t xml:space="preserve"> apresentam um decréscimo acentuado que resulta da reformulação dos Graus decorrente do Processo de Bolonha. </w:t>
      </w:r>
    </w:p>
    <w:p w:rsidR="00E54A2C" w:rsidRDefault="00E54A2C" w:rsidP="00E54A2C">
      <w:pPr>
        <w:pStyle w:val="Caption"/>
        <w:keepNext/>
      </w:pPr>
      <w:bookmarkStart w:id="4" w:name="_Toc290662020"/>
      <w:r>
        <w:t xml:space="preserve">Tabela </w:t>
      </w:r>
      <w:fldSimple w:instr=" SEQ Tabela \* ARABIC ">
        <w:r w:rsidR="00DC1B98">
          <w:rPr>
            <w:noProof/>
          </w:rPr>
          <w:t>1</w:t>
        </w:r>
      </w:fldSimple>
      <w:r>
        <w:t xml:space="preserve"> - Evolução anual da matrícula de formação graduada</w:t>
      </w:r>
      <w:bookmarkEnd w:id="4"/>
    </w:p>
    <w:tbl>
      <w:tblPr>
        <w:tblW w:w="4160" w:type="pct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726"/>
        <w:gridCol w:w="839"/>
        <w:gridCol w:w="1640"/>
        <w:gridCol w:w="1389"/>
        <w:gridCol w:w="1066"/>
        <w:gridCol w:w="890"/>
      </w:tblGrid>
      <w:tr w:rsidR="003350B4" w:rsidRPr="005A4DF2" w:rsidTr="00E54A2C">
        <w:trPr>
          <w:cantSplit/>
          <w:trHeight w:val="300"/>
          <w:tblHeader/>
        </w:trPr>
        <w:tc>
          <w:tcPr>
            <w:tcW w:w="446" w:type="pct"/>
            <w:shd w:val="clear" w:color="auto" w:fill="EAF1DD" w:themeFill="accent3" w:themeFillTint="33"/>
            <w:noWrap/>
            <w:vAlign w:val="center"/>
            <w:hideMark/>
          </w:tcPr>
          <w:p w:rsidR="005A4DF2" w:rsidRPr="005A4DF2" w:rsidRDefault="003350B4" w:rsidP="00DD774F">
            <w:pPr>
              <w:pStyle w:val="TabCab"/>
            </w:pPr>
            <w:r>
              <w:t>Ano</w:t>
            </w:r>
          </w:p>
        </w:tc>
        <w:tc>
          <w:tcPr>
            <w:tcW w:w="505" w:type="pct"/>
            <w:shd w:val="clear" w:color="auto" w:fill="EAF1DD" w:themeFill="accent3" w:themeFillTint="33"/>
            <w:noWrap/>
            <w:vAlign w:val="center"/>
            <w:hideMark/>
          </w:tcPr>
          <w:p w:rsidR="005A4DF2" w:rsidRPr="005A4DF2" w:rsidRDefault="005A4DF2" w:rsidP="00DD774F">
            <w:pPr>
              <w:pStyle w:val="TabCab"/>
            </w:pPr>
            <w:r w:rsidRPr="005A4DF2">
              <w:t>Bach</w:t>
            </w:r>
            <w:r w:rsidR="003350B4">
              <w:t>.</w:t>
            </w:r>
          </w:p>
        </w:tc>
        <w:tc>
          <w:tcPr>
            <w:tcW w:w="583" w:type="pct"/>
            <w:shd w:val="clear" w:color="auto" w:fill="EAF1DD" w:themeFill="accent3" w:themeFillTint="33"/>
            <w:noWrap/>
            <w:vAlign w:val="center"/>
            <w:hideMark/>
          </w:tcPr>
          <w:p w:rsidR="005A4DF2" w:rsidRPr="005A4DF2" w:rsidRDefault="005A4DF2" w:rsidP="00DD774F">
            <w:pPr>
              <w:pStyle w:val="TabCab"/>
            </w:pPr>
            <w:r w:rsidRPr="005A4DF2">
              <w:t>Lic</w:t>
            </w:r>
            <w:r w:rsidR="003350B4">
              <w:t>.</w:t>
            </w:r>
          </w:p>
        </w:tc>
        <w:tc>
          <w:tcPr>
            <w:tcW w:w="1140" w:type="pct"/>
            <w:shd w:val="clear" w:color="auto" w:fill="EAF1DD" w:themeFill="accent3" w:themeFillTint="33"/>
            <w:noWrap/>
            <w:vAlign w:val="center"/>
            <w:hideMark/>
          </w:tcPr>
          <w:p w:rsidR="005A4DF2" w:rsidRPr="005A4DF2" w:rsidRDefault="005A4DF2" w:rsidP="00DD774F">
            <w:pPr>
              <w:pStyle w:val="TabCab"/>
            </w:pPr>
            <w:proofErr w:type="spellStart"/>
            <w:r w:rsidRPr="005A4DF2">
              <w:t>Comp</w:t>
            </w:r>
            <w:proofErr w:type="spellEnd"/>
            <w:r w:rsidR="003350B4">
              <w:t>.</w:t>
            </w:r>
            <w:r w:rsidRPr="005A4DF2">
              <w:t xml:space="preserve"> </w:t>
            </w:r>
            <w:proofErr w:type="gramStart"/>
            <w:r w:rsidRPr="005A4DF2">
              <w:t>de</w:t>
            </w:r>
            <w:proofErr w:type="gramEnd"/>
            <w:r w:rsidRPr="005A4DF2">
              <w:t xml:space="preserve"> </w:t>
            </w:r>
            <w:proofErr w:type="spellStart"/>
            <w:r w:rsidRPr="005A4DF2">
              <w:t>Form</w:t>
            </w:r>
            <w:proofErr w:type="spellEnd"/>
            <w:r w:rsidR="003350B4">
              <w:t>.</w:t>
            </w:r>
          </w:p>
        </w:tc>
        <w:tc>
          <w:tcPr>
            <w:tcW w:w="966" w:type="pct"/>
            <w:shd w:val="clear" w:color="auto" w:fill="EAF1DD" w:themeFill="accent3" w:themeFillTint="33"/>
            <w:noWrap/>
            <w:vAlign w:val="center"/>
            <w:hideMark/>
          </w:tcPr>
          <w:p w:rsidR="005A4DF2" w:rsidRPr="005A4DF2" w:rsidRDefault="005A4DF2" w:rsidP="00DD774F">
            <w:pPr>
              <w:pStyle w:val="TabCab"/>
            </w:pPr>
            <w:r w:rsidRPr="005A4DF2">
              <w:t>Lic</w:t>
            </w:r>
            <w:r w:rsidR="003350B4">
              <w:t>.</w:t>
            </w:r>
            <w:r w:rsidRPr="005A4DF2">
              <w:t xml:space="preserve"> - 1.º </w:t>
            </w:r>
            <w:proofErr w:type="gramStart"/>
            <w:r w:rsidRPr="005A4DF2">
              <w:t>ciclo</w:t>
            </w:r>
            <w:proofErr w:type="gramEnd"/>
          </w:p>
        </w:tc>
        <w:tc>
          <w:tcPr>
            <w:tcW w:w="741" w:type="pct"/>
            <w:shd w:val="clear" w:color="auto" w:fill="EAF1DD" w:themeFill="accent3" w:themeFillTint="33"/>
            <w:vAlign w:val="center"/>
          </w:tcPr>
          <w:p w:rsidR="005A4DF2" w:rsidRPr="005A4DF2" w:rsidRDefault="005A4DF2" w:rsidP="00DD774F">
            <w:pPr>
              <w:pStyle w:val="TabCab"/>
            </w:pPr>
            <w:proofErr w:type="spellStart"/>
            <w:r>
              <w:t>Mest</w:t>
            </w:r>
            <w:proofErr w:type="spellEnd"/>
            <w:r w:rsidR="003350B4">
              <w:t>.</w:t>
            </w:r>
            <w:r>
              <w:t xml:space="preserve"> </w:t>
            </w:r>
            <w:proofErr w:type="spellStart"/>
            <w:r>
              <w:t>Int</w:t>
            </w:r>
            <w:proofErr w:type="spellEnd"/>
            <w:r w:rsidR="003350B4">
              <w:t>.</w:t>
            </w:r>
            <w:r w:rsidR="005650DA">
              <w:rPr>
                <w:rStyle w:val="FootnoteReference"/>
              </w:rPr>
              <w:footnoteReference w:id="1"/>
            </w:r>
          </w:p>
        </w:tc>
        <w:tc>
          <w:tcPr>
            <w:tcW w:w="619" w:type="pct"/>
            <w:shd w:val="clear" w:color="auto" w:fill="EAF1DD" w:themeFill="accent3" w:themeFillTint="33"/>
            <w:vAlign w:val="center"/>
          </w:tcPr>
          <w:p w:rsidR="005A4DF2" w:rsidRPr="005A4DF2" w:rsidRDefault="005A4DF2" w:rsidP="00DD774F">
            <w:pPr>
              <w:pStyle w:val="TabCab"/>
            </w:pPr>
            <w:r w:rsidRPr="005A4DF2">
              <w:t>Total</w:t>
            </w:r>
          </w:p>
        </w:tc>
      </w:tr>
      <w:tr w:rsidR="003350B4" w:rsidRPr="005A4DF2" w:rsidTr="00E54A2C">
        <w:trPr>
          <w:trHeight w:val="300"/>
        </w:trPr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A4DF2" w:rsidRPr="005A4DF2" w:rsidRDefault="005A4DF2" w:rsidP="00776FD3">
            <w:pPr>
              <w:pStyle w:val="Tab1col"/>
            </w:pPr>
            <w:r w:rsidRPr="005A4DF2">
              <w:t>2005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4888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345017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9.113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proofErr w:type="gramStart"/>
            <w:r>
              <w:t>n.d.</w:t>
            </w:r>
            <w:proofErr w:type="gramEnd"/>
          </w:p>
        </w:tc>
        <w:tc>
          <w:tcPr>
            <w:tcW w:w="741" w:type="pct"/>
            <w:vAlign w:val="center"/>
          </w:tcPr>
          <w:p w:rsidR="005A4DF2" w:rsidRPr="005A4DF2" w:rsidRDefault="005A4DF2" w:rsidP="00776FD3">
            <w:pPr>
              <w:pStyle w:val="Tabcorpo"/>
            </w:pPr>
            <w:proofErr w:type="gramStart"/>
            <w:r>
              <w:t>n.d.</w:t>
            </w:r>
            <w:proofErr w:type="gramEnd"/>
          </w:p>
        </w:tc>
        <w:tc>
          <w:tcPr>
            <w:tcW w:w="619" w:type="pct"/>
            <w:vAlign w:val="bottom"/>
          </w:tcPr>
          <w:p w:rsidR="005A4DF2" w:rsidRDefault="005A4DF2" w:rsidP="00776FD3">
            <w:pPr>
              <w:pStyle w:val="Tabtot"/>
            </w:pPr>
            <w:r>
              <w:t>359.018</w:t>
            </w:r>
          </w:p>
        </w:tc>
      </w:tr>
      <w:tr w:rsidR="003350B4" w:rsidRPr="005A4DF2" w:rsidTr="00E54A2C">
        <w:trPr>
          <w:trHeight w:val="300"/>
        </w:trPr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A4DF2" w:rsidRPr="005A4DF2" w:rsidRDefault="005A4DF2" w:rsidP="00776FD3">
            <w:pPr>
              <w:pStyle w:val="Tab1col"/>
            </w:pPr>
            <w:r w:rsidRPr="005A4DF2">
              <w:t>2006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4068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331858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5.569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proofErr w:type="gramStart"/>
            <w:r>
              <w:t>n.d.</w:t>
            </w:r>
            <w:proofErr w:type="gramEnd"/>
          </w:p>
        </w:tc>
        <w:tc>
          <w:tcPr>
            <w:tcW w:w="741" w:type="pct"/>
            <w:vAlign w:val="center"/>
          </w:tcPr>
          <w:p w:rsidR="005A4DF2" w:rsidRPr="005A4DF2" w:rsidRDefault="005A4DF2" w:rsidP="00776FD3">
            <w:pPr>
              <w:pStyle w:val="Tabcorpo"/>
            </w:pPr>
            <w:proofErr w:type="gramStart"/>
            <w:r>
              <w:t>n.d.</w:t>
            </w:r>
            <w:proofErr w:type="gramEnd"/>
          </w:p>
        </w:tc>
        <w:tc>
          <w:tcPr>
            <w:tcW w:w="619" w:type="pct"/>
            <w:vAlign w:val="bottom"/>
          </w:tcPr>
          <w:p w:rsidR="005A4DF2" w:rsidRDefault="005A4DF2" w:rsidP="00776FD3">
            <w:pPr>
              <w:pStyle w:val="Tabtot"/>
            </w:pPr>
            <w:r>
              <w:t>341.495</w:t>
            </w:r>
          </w:p>
        </w:tc>
      </w:tr>
      <w:tr w:rsidR="003350B4" w:rsidRPr="005A4DF2" w:rsidTr="00E54A2C">
        <w:trPr>
          <w:trHeight w:val="300"/>
        </w:trPr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A4DF2" w:rsidRPr="005A4DF2" w:rsidRDefault="005A4DF2" w:rsidP="00776FD3">
            <w:pPr>
              <w:pStyle w:val="Tab1col"/>
            </w:pPr>
            <w:r w:rsidRPr="005A4DF2">
              <w:t>2007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2740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225665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3.041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90035</w:t>
            </w:r>
          </w:p>
        </w:tc>
        <w:tc>
          <w:tcPr>
            <w:tcW w:w="741" w:type="pct"/>
            <w:vAlign w:val="center"/>
          </w:tcPr>
          <w:p w:rsidR="005A4DF2" w:rsidRPr="00F73BD0" w:rsidRDefault="005A4DF2" w:rsidP="00776FD3">
            <w:pPr>
              <w:pStyle w:val="Tabcorpo"/>
            </w:pPr>
            <w:r w:rsidRPr="00F73BD0">
              <w:t>18326</w:t>
            </w:r>
          </w:p>
        </w:tc>
        <w:tc>
          <w:tcPr>
            <w:tcW w:w="619" w:type="pct"/>
            <w:vAlign w:val="bottom"/>
          </w:tcPr>
          <w:p w:rsidR="005A4DF2" w:rsidRDefault="005A4DF2" w:rsidP="00776FD3">
            <w:pPr>
              <w:pStyle w:val="Tabtot"/>
            </w:pPr>
            <w:r>
              <w:t>339.807</w:t>
            </w:r>
          </w:p>
        </w:tc>
      </w:tr>
      <w:tr w:rsidR="003350B4" w:rsidRPr="005A4DF2" w:rsidTr="00E54A2C">
        <w:trPr>
          <w:trHeight w:val="300"/>
        </w:trPr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A4DF2" w:rsidRPr="005A4DF2" w:rsidRDefault="005A4DF2" w:rsidP="00776FD3">
            <w:pPr>
              <w:pStyle w:val="Tab1col"/>
            </w:pPr>
            <w:r w:rsidRPr="005A4DF2">
              <w:t>2008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600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76579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1.914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206899</w:t>
            </w:r>
          </w:p>
        </w:tc>
        <w:tc>
          <w:tcPr>
            <w:tcW w:w="741" w:type="pct"/>
            <w:vAlign w:val="center"/>
          </w:tcPr>
          <w:p w:rsidR="005A4DF2" w:rsidRPr="00F73BD0" w:rsidRDefault="005A4DF2" w:rsidP="00776FD3">
            <w:pPr>
              <w:pStyle w:val="Tabcorpo"/>
            </w:pPr>
            <w:r w:rsidRPr="00F73BD0">
              <w:t>47525</w:t>
            </w:r>
          </w:p>
        </w:tc>
        <w:tc>
          <w:tcPr>
            <w:tcW w:w="619" w:type="pct"/>
            <w:vAlign w:val="bottom"/>
          </w:tcPr>
          <w:p w:rsidR="005A4DF2" w:rsidRDefault="005A4DF2" w:rsidP="00776FD3">
            <w:pPr>
              <w:pStyle w:val="Tabtot"/>
            </w:pPr>
            <w:r>
              <w:t>333.517</w:t>
            </w:r>
          </w:p>
        </w:tc>
      </w:tr>
      <w:tr w:rsidR="003350B4" w:rsidRPr="005A4DF2" w:rsidTr="00E54A2C">
        <w:trPr>
          <w:trHeight w:val="300"/>
        </w:trPr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A4DF2" w:rsidRPr="005A4DF2" w:rsidRDefault="005A4DF2" w:rsidP="00776FD3">
            <w:pPr>
              <w:pStyle w:val="Tab1col"/>
            </w:pPr>
            <w:r w:rsidRPr="005A4DF2">
              <w:t>2009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232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24051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920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237250</w:t>
            </w:r>
          </w:p>
        </w:tc>
        <w:tc>
          <w:tcPr>
            <w:tcW w:w="741" w:type="pct"/>
            <w:vAlign w:val="center"/>
          </w:tcPr>
          <w:p w:rsidR="005A4DF2" w:rsidRPr="00F73BD0" w:rsidRDefault="005A4DF2" w:rsidP="00776FD3">
            <w:pPr>
              <w:pStyle w:val="Tabcorpo"/>
            </w:pPr>
            <w:r w:rsidRPr="00F73BD0">
              <w:t>56558</w:t>
            </w:r>
          </w:p>
        </w:tc>
        <w:tc>
          <w:tcPr>
            <w:tcW w:w="619" w:type="pct"/>
            <w:vAlign w:val="bottom"/>
          </w:tcPr>
          <w:p w:rsidR="005A4DF2" w:rsidRDefault="005A4DF2" w:rsidP="00776FD3">
            <w:pPr>
              <w:pStyle w:val="Tabtot"/>
            </w:pPr>
            <w:r>
              <w:t>319.011</w:t>
            </w:r>
          </w:p>
        </w:tc>
      </w:tr>
      <w:tr w:rsidR="003350B4" w:rsidRPr="005A4DF2" w:rsidTr="00E54A2C">
        <w:trPr>
          <w:trHeight w:val="300"/>
        </w:trPr>
        <w:tc>
          <w:tcPr>
            <w:tcW w:w="446" w:type="pct"/>
            <w:shd w:val="clear" w:color="auto" w:fill="auto"/>
            <w:noWrap/>
            <w:vAlign w:val="bottom"/>
            <w:hideMark/>
          </w:tcPr>
          <w:p w:rsidR="005A4DF2" w:rsidRPr="005A4DF2" w:rsidRDefault="005A4DF2" w:rsidP="00776FD3">
            <w:pPr>
              <w:pStyle w:val="Tab1col"/>
            </w:pPr>
            <w:r w:rsidRPr="005A4DF2">
              <w:t>2010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3715</w:t>
            </w:r>
          </w:p>
        </w:tc>
        <w:tc>
          <w:tcPr>
            <w:tcW w:w="1140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353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5A4DF2" w:rsidRPr="005A4DF2" w:rsidRDefault="005A4DF2" w:rsidP="00776FD3">
            <w:pPr>
              <w:pStyle w:val="Tabcorpo"/>
            </w:pPr>
            <w:r w:rsidRPr="005A4DF2">
              <w:t>252655</w:t>
            </w:r>
          </w:p>
        </w:tc>
        <w:tc>
          <w:tcPr>
            <w:tcW w:w="741" w:type="pct"/>
            <w:vAlign w:val="center"/>
          </w:tcPr>
          <w:p w:rsidR="005A4DF2" w:rsidRDefault="005A4DF2" w:rsidP="00776FD3">
            <w:pPr>
              <w:pStyle w:val="Tabcorpo"/>
            </w:pPr>
            <w:r w:rsidRPr="00F73BD0">
              <w:t>60657</w:t>
            </w:r>
          </w:p>
        </w:tc>
        <w:tc>
          <w:tcPr>
            <w:tcW w:w="619" w:type="pct"/>
            <w:vAlign w:val="bottom"/>
          </w:tcPr>
          <w:p w:rsidR="005A4DF2" w:rsidRDefault="005A4DF2" w:rsidP="00776FD3">
            <w:pPr>
              <w:pStyle w:val="Tabtot"/>
            </w:pPr>
            <w:r>
              <w:t>317.389</w:t>
            </w:r>
          </w:p>
        </w:tc>
      </w:tr>
    </w:tbl>
    <w:p w:rsidR="00E8623F" w:rsidRPr="0067058E" w:rsidRDefault="00E8623F" w:rsidP="005A4DF2">
      <w:pPr>
        <w:pStyle w:val="NOTA"/>
      </w:pPr>
      <w:r w:rsidRPr="0067058E">
        <w:t xml:space="preserve">Fonte: </w:t>
      </w:r>
      <w:r w:rsidR="00E54A2C">
        <w:t>PORDATA-</w:t>
      </w:r>
      <w:r w:rsidR="005A4DF2">
        <w:t>GPEARI/MCTES - DIMASRAIDES</w:t>
      </w:r>
    </w:p>
    <w:p w:rsidR="006D4BB5" w:rsidRDefault="006D4BB5" w:rsidP="00D9495A"/>
    <w:p w:rsidR="003028D6" w:rsidRDefault="003028D6" w:rsidP="00132035">
      <w:pPr>
        <w:pStyle w:val="Tit2"/>
      </w:pPr>
      <w:bookmarkStart w:id="5" w:name="_Toc290662652"/>
      <w:r w:rsidRPr="0067058E">
        <w:t>Evolução da matr</w:t>
      </w:r>
      <w:r w:rsidR="00D66C20" w:rsidRPr="0067058E">
        <w:t>í</w:t>
      </w:r>
      <w:r w:rsidRPr="0067058E">
        <w:t>cula de estudos pós-graduados</w:t>
      </w:r>
      <w:bookmarkEnd w:id="5"/>
    </w:p>
    <w:p w:rsidR="000A13E6" w:rsidRDefault="000A13E6" w:rsidP="00631626">
      <w:r w:rsidRPr="00631626">
        <w:t>A evolução do</w:t>
      </w:r>
      <w:r w:rsidR="003F717C" w:rsidRPr="00631626">
        <w:t xml:space="preserve"> número de matriculados em</w:t>
      </w:r>
      <w:r w:rsidRPr="00631626">
        <w:t xml:space="preserve"> estudos pós-graduados</w:t>
      </w:r>
      <w:r w:rsidR="00A74AEC" w:rsidRPr="00631626">
        <w:t>,</w:t>
      </w:r>
      <w:r w:rsidRPr="00631626">
        <w:t xml:space="preserve"> em Portugal</w:t>
      </w:r>
      <w:r w:rsidR="00A74AEC" w:rsidRPr="00631626">
        <w:t>,</w:t>
      </w:r>
      <w:r w:rsidRPr="00631626">
        <w:t xml:space="preserve"> </w:t>
      </w:r>
      <w:r w:rsidR="00844084" w:rsidRPr="00631626">
        <w:t xml:space="preserve">apresentou um significativo </w:t>
      </w:r>
      <w:r w:rsidR="00A74AEC" w:rsidRPr="00631626">
        <w:t>crescimento nos últimos 5 anos</w:t>
      </w:r>
      <w:r w:rsidRPr="00631626">
        <w:t xml:space="preserve"> em todas as categorias, </w:t>
      </w:r>
      <w:r w:rsidR="00A74AEC" w:rsidRPr="00631626">
        <w:t>nomeadamente</w:t>
      </w:r>
      <w:r w:rsidRPr="00631626">
        <w:t xml:space="preserve"> </w:t>
      </w:r>
      <w:r w:rsidR="00A74AEC" w:rsidRPr="00631626">
        <w:t xml:space="preserve">em Doutoramentos e </w:t>
      </w:r>
      <w:r w:rsidRPr="00631626">
        <w:t>Mestrado</w:t>
      </w:r>
      <w:r w:rsidR="00A74AEC" w:rsidRPr="00631626">
        <w:t>s</w:t>
      </w:r>
      <w:r w:rsidRPr="00631626">
        <w:t>.</w:t>
      </w:r>
      <w:r w:rsidR="00E54A2C">
        <w:t xml:space="preserve"> Este crescimento, a partir de 2008, ao nível dos Mestrados, deve-se em particular à reformulação dos ciclos de estudos, a criação de Mestrados de 2º ciclo, equivalentes ao novo ISCED 5A.</w:t>
      </w:r>
    </w:p>
    <w:p w:rsidR="00E54A2C" w:rsidRPr="00631626" w:rsidRDefault="00E54A2C" w:rsidP="00631626"/>
    <w:p w:rsidR="00E54A2C" w:rsidRDefault="00E54A2C" w:rsidP="00E54A2C">
      <w:pPr>
        <w:pStyle w:val="Caption"/>
        <w:keepNext/>
      </w:pPr>
      <w:bookmarkStart w:id="6" w:name="_Toc290662021"/>
      <w:r>
        <w:t xml:space="preserve">Tabela </w:t>
      </w:r>
      <w:fldSimple w:instr=" SEQ Tabela \* ARABIC ">
        <w:r w:rsidR="00DC1B98">
          <w:rPr>
            <w:noProof/>
          </w:rPr>
          <w:t>2</w:t>
        </w:r>
      </w:fldSimple>
      <w:r>
        <w:t xml:space="preserve"> - Evolução anual da matrícula de formação pós-graduada</w:t>
      </w:r>
      <w:bookmarkEnd w:id="6"/>
    </w:p>
    <w:tbl>
      <w:tblPr>
        <w:tblW w:w="5718" w:type="dxa"/>
        <w:tblInd w:w="55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2"/>
        <w:gridCol w:w="1451"/>
        <w:gridCol w:w="1385"/>
        <w:gridCol w:w="960"/>
      </w:tblGrid>
      <w:tr w:rsidR="003350B4" w:rsidRPr="003350B4" w:rsidTr="00E54A2C">
        <w:trPr>
          <w:trHeight w:val="300"/>
        </w:trPr>
        <w:tc>
          <w:tcPr>
            <w:tcW w:w="960" w:type="dxa"/>
            <w:shd w:val="clear" w:color="auto" w:fill="EAF1DD" w:themeFill="accent3" w:themeFillTint="33"/>
            <w:noWrap/>
            <w:vAlign w:val="center"/>
            <w:hideMark/>
          </w:tcPr>
          <w:p w:rsidR="003350B4" w:rsidRPr="003350B4" w:rsidRDefault="003350B4" w:rsidP="00DD774F">
            <w:pPr>
              <w:pStyle w:val="TabCab"/>
            </w:pPr>
            <w:r>
              <w:t>Ano</w:t>
            </w:r>
          </w:p>
        </w:tc>
        <w:tc>
          <w:tcPr>
            <w:tcW w:w="962" w:type="dxa"/>
            <w:shd w:val="clear" w:color="auto" w:fill="EAF1DD" w:themeFill="accent3" w:themeFillTint="33"/>
            <w:noWrap/>
            <w:vAlign w:val="center"/>
            <w:hideMark/>
          </w:tcPr>
          <w:p w:rsidR="003350B4" w:rsidRPr="003350B4" w:rsidRDefault="003350B4" w:rsidP="00DD774F">
            <w:pPr>
              <w:pStyle w:val="TabCab"/>
            </w:pPr>
            <w:r w:rsidRPr="003350B4">
              <w:t>Mestrado</w:t>
            </w:r>
          </w:p>
        </w:tc>
        <w:tc>
          <w:tcPr>
            <w:tcW w:w="1451" w:type="dxa"/>
            <w:shd w:val="clear" w:color="auto" w:fill="EAF1DD" w:themeFill="accent3" w:themeFillTint="33"/>
            <w:noWrap/>
            <w:vAlign w:val="center"/>
            <w:hideMark/>
          </w:tcPr>
          <w:p w:rsidR="003350B4" w:rsidRPr="003350B4" w:rsidRDefault="003350B4" w:rsidP="00DD774F">
            <w:pPr>
              <w:pStyle w:val="TabCab"/>
            </w:pPr>
            <w:r w:rsidRPr="003350B4">
              <w:t>Especializações</w:t>
            </w:r>
          </w:p>
        </w:tc>
        <w:tc>
          <w:tcPr>
            <w:tcW w:w="1385" w:type="dxa"/>
            <w:shd w:val="clear" w:color="auto" w:fill="EAF1DD" w:themeFill="accent3" w:themeFillTint="33"/>
            <w:noWrap/>
            <w:vAlign w:val="center"/>
            <w:hideMark/>
          </w:tcPr>
          <w:p w:rsidR="003350B4" w:rsidRPr="003350B4" w:rsidRDefault="003350B4" w:rsidP="00DD774F">
            <w:pPr>
              <w:pStyle w:val="TabCab"/>
            </w:pPr>
            <w:r w:rsidRPr="003350B4">
              <w:t>Doutoramento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center"/>
            <w:hideMark/>
          </w:tcPr>
          <w:p w:rsidR="003350B4" w:rsidRPr="003350B4" w:rsidRDefault="003350B4" w:rsidP="00DD774F">
            <w:pPr>
              <w:pStyle w:val="TabCab"/>
            </w:pPr>
            <w:r>
              <w:t>T</w:t>
            </w:r>
            <w:r w:rsidRPr="003350B4">
              <w:t>otal</w:t>
            </w:r>
          </w:p>
        </w:tc>
      </w:tr>
      <w:tr w:rsidR="003350B4" w:rsidRPr="003350B4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1col"/>
            </w:pPr>
            <w:r w:rsidRPr="003350B4">
              <w:t>2005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11.422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3509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6988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tot"/>
            </w:pPr>
            <w:r w:rsidRPr="003350B4">
              <w:t>35.346</w:t>
            </w:r>
          </w:p>
        </w:tc>
      </w:tr>
      <w:tr w:rsidR="003350B4" w:rsidRPr="003350B4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1col"/>
            </w:pPr>
            <w:r w:rsidRPr="003350B4">
              <w:t>2006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12.007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5305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8505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tot"/>
            </w:pPr>
            <w:r w:rsidRPr="003350B4">
              <w:t>39.830</w:t>
            </w:r>
          </w:p>
        </w:tc>
      </w:tr>
      <w:tr w:rsidR="003350B4" w:rsidRPr="003350B4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1col"/>
            </w:pPr>
            <w:r w:rsidRPr="003350B4">
              <w:t>2007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11608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5729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9585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tot"/>
            </w:pPr>
            <w:r w:rsidRPr="003350B4">
              <w:t>40.537</w:t>
            </w:r>
          </w:p>
        </w:tc>
      </w:tr>
      <w:tr w:rsidR="003350B4" w:rsidRPr="003350B4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1col"/>
            </w:pPr>
            <w:r w:rsidRPr="003350B4">
              <w:t>2008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27204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4852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11344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tot"/>
            </w:pPr>
            <w:r w:rsidRPr="003350B4">
              <w:t>72.612</w:t>
            </w:r>
          </w:p>
        </w:tc>
      </w:tr>
      <w:tr w:rsidR="003350B4" w:rsidRPr="003350B4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1col"/>
            </w:pPr>
            <w:r w:rsidRPr="003350B4">
              <w:t>2009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35541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5021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13429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tot"/>
            </w:pPr>
            <w:r w:rsidRPr="003350B4">
              <w:t>91.541</w:t>
            </w:r>
          </w:p>
        </w:tc>
      </w:tr>
      <w:tr w:rsidR="003350B4" w:rsidRPr="003350B4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1col"/>
            </w:pPr>
            <w:r w:rsidRPr="003350B4">
              <w:t>2010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44752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5109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corpo"/>
            </w:pPr>
            <w:r w:rsidRPr="003350B4">
              <w:t>16377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350B4" w:rsidRPr="003350B4" w:rsidRDefault="003350B4" w:rsidP="00776FD3">
            <w:pPr>
              <w:pStyle w:val="Tabtot"/>
            </w:pPr>
            <w:r w:rsidRPr="003350B4">
              <w:t>113.000</w:t>
            </w:r>
          </w:p>
        </w:tc>
      </w:tr>
    </w:tbl>
    <w:p w:rsidR="00E8623F" w:rsidRPr="0067058E" w:rsidRDefault="00E8623F" w:rsidP="005A4DF2">
      <w:pPr>
        <w:pStyle w:val="NOTA"/>
      </w:pPr>
      <w:r w:rsidRPr="0067058E">
        <w:t xml:space="preserve">Fonte: </w:t>
      </w:r>
      <w:r w:rsidR="005A4DF2" w:rsidRPr="005A4DF2">
        <w:t>GPEARI</w:t>
      </w:r>
      <w:r w:rsidR="005A4DF2">
        <w:t>/MCTES - DIMASRAIDES</w:t>
      </w:r>
      <w:r w:rsidR="005A4DF2" w:rsidRPr="0067058E">
        <w:t xml:space="preserve"> </w:t>
      </w:r>
    </w:p>
    <w:p w:rsidR="006D4BB5" w:rsidRPr="0067058E" w:rsidRDefault="006D4BB5" w:rsidP="006D4BB5">
      <w:pPr>
        <w:rPr>
          <w:color w:val="45556A"/>
        </w:rPr>
      </w:pPr>
    </w:p>
    <w:p w:rsidR="003028D6" w:rsidRPr="0067058E" w:rsidRDefault="003028D6" w:rsidP="00132035">
      <w:pPr>
        <w:pStyle w:val="Tit2"/>
      </w:pPr>
      <w:bookmarkStart w:id="7" w:name="_Toc290662653"/>
      <w:r w:rsidRPr="0067058E">
        <w:t xml:space="preserve">Distribuição de </w:t>
      </w:r>
      <w:r w:rsidR="00D66C20" w:rsidRPr="0067058E">
        <w:t>matrícula</w:t>
      </w:r>
      <w:r w:rsidRPr="0067058E">
        <w:t xml:space="preserve">s entre os níveis Universitário e </w:t>
      </w:r>
      <w:r w:rsidR="005C5B7F">
        <w:t>Politécnico</w:t>
      </w:r>
      <w:bookmarkEnd w:id="7"/>
    </w:p>
    <w:p w:rsidR="00A46596" w:rsidRPr="00631626" w:rsidRDefault="00A46596" w:rsidP="00631626">
      <w:r w:rsidRPr="00631626">
        <w:t>No Sistema de Ensino Superior Português</w:t>
      </w:r>
      <w:r w:rsidR="009A4E71" w:rsidRPr="00631626">
        <w:t>,</w:t>
      </w:r>
      <w:r w:rsidRPr="00631626">
        <w:t xml:space="preserve"> os estabelecimentos de Ensino </w:t>
      </w:r>
      <w:r w:rsidR="00C06DD2" w:rsidRPr="00631626">
        <w:t>Politécnico</w:t>
      </w:r>
      <w:r w:rsidR="009A59BB" w:rsidRPr="00631626">
        <w:t xml:space="preserve"> estão habi</w:t>
      </w:r>
      <w:r w:rsidRPr="00631626">
        <w:t>litados a conferir os graus de nível 5B e 5A, e os de Ensino Universitário</w:t>
      </w:r>
      <w:r w:rsidR="009A59BB" w:rsidRPr="00631626">
        <w:t xml:space="preserve">, para além destes, conferem também os graus de </w:t>
      </w:r>
      <w:r w:rsidRPr="00631626">
        <w:t>nível 6.</w:t>
      </w:r>
    </w:p>
    <w:p w:rsidR="009738D4" w:rsidRPr="00631626" w:rsidRDefault="005650DA" w:rsidP="00631626">
      <w:r>
        <w:t>Apesar das ligeiras flutuações no número de matriculados, este tem-se mantido relativamente constante nos dois tipo</w:t>
      </w:r>
      <w:r w:rsidR="00E54A2C">
        <w:t>s</w:t>
      </w:r>
      <w:r>
        <w:t xml:space="preserve"> de ensino, realçando-se a predominância do ensino superior universitário face ao politécnico.</w:t>
      </w:r>
    </w:p>
    <w:p w:rsidR="00E54A2C" w:rsidRDefault="00E54A2C" w:rsidP="00E54A2C">
      <w:pPr>
        <w:pStyle w:val="Caption"/>
        <w:keepNext/>
      </w:pPr>
      <w:bookmarkStart w:id="8" w:name="_Toc290662022"/>
      <w:r>
        <w:t xml:space="preserve">Tabela </w:t>
      </w:r>
      <w:fldSimple w:instr=" SEQ Tabela \* ARABIC ">
        <w:r w:rsidR="00DC1B98">
          <w:rPr>
            <w:noProof/>
          </w:rPr>
          <w:t>3</w:t>
        </w:r>
      </w:fldSimple>
      <w:r>
        <w:t xml:space="preserve"> - Evolução anual da matrícula, segundo o tipo de ensino</w:t>
      </w:r>
      <w:bookmarkEnd w:id="8"/>
    </w:p>
    <w:tbl>
      <w:tblPr>
        <w:tblW w:w="5305" w:type="dxa"/>
        <w:tblInd w:w="55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74"/>
        <w:gridCol w:w="1580"/>
        <w:gridCol w:w="1491"/>
      </w:tblGrid>
      <w:tr w:rsidR="00631626" w:rsidRPr="00631626" w:rsidTr="00E54A2C">
        <w:trPr>
          <w:trHeight w:val="300"/>
        </w:trPr>
        <w:tc>
          <w:tcPr>
            <w:tcW w:w="960" w:type="dxa"/>
            <w:shd w:val="clear" w:color="auto" w:fill="EAF1DD" w:themeFill="accent3" w:themeFillTint="33"/>
            <w:noWrap/>
            <w:vAlign w:val="center"/>
            <w:hideMark/>
          </w:tcPr>
          <w:p w:rsidR="00631626" w:rsidRPr="00631626" w:rsidRDefault="00631626" w:rsidP="00DD774F">
            <w:pPr>
              <w:pStyle w:val="TabCab"/>
            </w:pPr>
            <w:r>
              <w:t>Ano</w:t>
            </w:r>
          </w:p>
        </w:tc>
        <w:tc>
          <w:tcPr>
            <w:tcW w:w="1274" w:type="dxa"/>
            <w:shd w:val="clear" w:color="auto" w:fill="EAF1DD" w:themeFill="accent3" w:themeFillTint="33"/>
            <w:noWrap/>
            <w:vAlign w:val="center"/>
            <w:hideMark/>
          </w:tcPr>
          <w:p w:rsidR="00631626" w:rsidRPr="00631626" w:rsidRDefault="00631626" w:rsidP="00DD774F">
            <w:pPr>
              <w:pStyle w:val="TabCab"/>
            </w:pPr>
            <w:r w:rsidRPr="00631626">
              <w:t>Universitário</w:t>
            </w:r>
          </w:p>
        </w:tc>
        <w:tc>
          <w:tcPr>
            <w:tcW w:w="1580" w:type="dxa"/>
            <w:shd w:val="clear" w:color="auto" w:fill="EAF1DD" w:themeFill="accent3" w:themeFillTint="33"/>
            <w:noWrap/>
            <w:vAlign w:val="center"/>
            <w:hideMark/>
          </w:tcPr>
          <w:p w:rsidR="00631626" w:rsidRPr="00631626" w:rsidRDefault="00631626" w:rsidP="00DD774F">
            <w:pPr>
              <w:pStyle w:val="TabCab"/>
            </w:pPr>
            <w:r w:rsidRPr="00DD774F">
              <w:t>Politécnico</w:t>
            </w:r>
          </w:p>
        </w:tc>
        <w:tc>
          <w:tcPr>
            <w:tcW w:w="1491" w:type="dxa"/>
            <w:shd w:val="clear" w:color="auto" w:fill="EAF1DD" w:themeFill="accent3" w:themeFillTint="33"/>
            <w:vAlign w:val="center"/>
          </w:tcPr>
          <w:p w:rsidR="00631626" w:rsidRPr="00631626" w:rsidRDefault="00631626" w:rsidP="00DD774F">
            <w:pPr>
              <w:pStyle w:val="TabCab"/>
            </w:pPr>
            <w:r>
              <w:t>Total</w:t>
            </w:r>
          </w:p>
        </w:tc>
      </w:tr>
      <w:tr w:rsidR="00631626" w:rsidRPr="00631626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1col"/>
            </w:pPr>
            <w:r w:rsidRPr="00631626">
              <w:t>2005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241054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139883</w:t>
            </w:r>
          </w:p>
        </w:tc>
        <w:tc>
          <w:tcPr>
            <w:tcW w:w="1491" w:type="dxa"/>
            <w:vAlign w:val="bottom"/>
          </w:tcPr>
          <w:p w:rsidR="00631626" w:rsidRDefault="00631626" w:rsidP="00776FD3">
            <w:pPr>
              <w:pStyle w:val="Tabtot"/>
            </w:pPr>
            <w:r>
              <w:t>380937</w:t>
            </w:r>
          </w:p>
        </w:tc>
      </w:tr>
      <w:tr w:rsidR="00631626" w:rsidRPr="00631626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1col"/>
            </w:pPr>
            <w:r w:rsidRPr="00631626">
              <w:t>2006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233315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133997</w:t>
            </w:r>
          </w:p>
        </w:tc>
        <w:tc>
          <w:tcPr>
            <w:tcW w:w="1491" w:type="dxa"/>
            <w:vAlign w:val="bottom"/>
          </w:tcPr>
          <w:p w:rsidR="00631626" w:rsidRDefault="00631626" w:rsidP="00776FD3">
            <w:pPr>
              <w:pStyle w:val="Tabtot"/>
            </w:pPr>
            <w:r>
              <w:t>367312</w:t>
            </w:r>
          </w:p>
        </w:tc>
      </w:tr>
      <w:tr w:rsidR="00631626" w:rsidRPr="00631626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1col"/>
            </w:pPr>
            <w:r w:rsidRPr="00631626">
              <w:t>2007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230108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136621</w:t>
            </w:r>
          </w:p>
        </w:tc>
        <w:tc>
          <w:tcPr>
            <w:tcW w:w="1491" w:type="dxa"/>
            <w:vAlign w:val="bottom"/>
          </w:tcPr>
          <w:p w:rsidR="00631626" w:rsidRDefault="00631626" w:rsidP="00776FD3">
            <w:pPr>
              <w:pStyle w:val="Tabtot"/>
            </w:pPr>
            <w:r>
              <w:t>366729</w:t>
            </w:r>
          </w:p>
        </w:tc>
      </w:tr>
      <w:tr w:rsidR="00631626" w:rsidRPr="00631626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1col"/>
            </w:pPr>
            <w:r w:rsidRPr="00631626">
              <w:t>2008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237219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139698</w:t>
            </w:r>
          </w:p>
        </w:tc>
        <w:tc>
          <w:tcPr>
            <w:tcW w:w="1491" w:type="dxa"/>
            <w:vAlign w:val="bottom"/>
          </w:tcPr>
          <w:p w:rsidR="00631626" w:rsidRDefault="00631626" w:rsidP="00776FD3">
            <w:pPr>
              <w:pStyle w:val="Tabtot"/>
            </w:pPr>
            <w:r>
              <w:t>376917</w:t>
            </w:r>
          </w:p>
        </w:tc>
      </w:tr>
      <w:tr w:rsidR="00631626" w:rsidRPr="00631626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1col"/>
            </w:pPr>
            <w:r w:rsidRPr="00631626">
              <w:t>2009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236220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136782</w:t>
            </w:r>
          </w:p>
        </w:tc>
        <w:tc>
          <w:tcPr>
            <w:tcW w:w="1491" w:type="dxa"/>
            <w:vAlign w:val="bottom"/>
          </w:tcPr>
          <w:p w:rsidR="00631626" w:rsidRDefault="00631626" w:rsidP="00776FD3">
            <w:pPr>
              <w:pStyle w:val="Tabtot"/>
            </w:pPr>
            <w:r>
              <w:t>373002</w:t>
            </w:r>
          </w:p>
        </w:tc>
      </w:tr>
      <w:tr w:rsidR="00631626" w:rsidRPr="00631626" w:rsidTr="00E54A2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1col"/>
            </w:pPr>
            <w:r w:rsidRPr="00631626">
              <w:t>2010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243980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31626" w:rsidRPr="00631626" w:rsidRDefault="00631626" w:rsidP="00776FD3">
            <w:pPr>
              <w:pStyle w:val="Tabcorpo"/>
            </w:pPr>
            <w:r w:rsidRPr="00631626">
              <w:t>139647</w:t>
            </w:r>
          </w:p>
        </w:tc>
        <w:tc>
          <w:tcPr>
            <w:tcW w:w="1491" w:type="dxa"/>
            <w:vAlign w:val="bottom"/>
          </w:tcPr>
          <w:p w:rsidR="00631626" w:rsidRDefault="00631626" w:rsidP="00776FD3">
            <w:pPr>
              <w:pStyle w:val="Tabtot"/>
            </w:pPr>
            <w:r>
              <w:t>383627</w:t>
            </w:r>
          </w:p>
        </w:tc>
      </w:tr>
    </w:tbl>
    <w:p w:rsidR="00631626" w:rsidRPr="0067058E" w:rsidRDefault="00631626" w:rsidP="00631626">
      <w:pPr>
        <w:pStyle w:val="NOTA"/>
      </w:pPr>
      <w:r w:rsidRPr="0067058E">
        <w:t xml:space="preserve">Fonte: </w:t>
      </w:r>
      <w:r w:rsidRPr="005A4DF2">
        <w:t>GPEARI</w:t>
      </w:r>
      <w:r>
        <w:t>/MCTES - DIMASRAIDES</w:t>
      </w:r>
      <w:r w:rsidRPr="0067058E">
        <w:t xml:space="preserve"> </w:t>
      </w:r>
    </w:p>
    <w:p w:rsidR="006D4BB5" w:rsidRPr="0067058E" w:rsidRDefault="006D4BB5" w:rsidP="006D4BB5">
      <w:pPr>
        <w:rPr>
          <w:color w:val="45556A"/>
        </w:rPr>
      </w:pPr>
    </w:p>
    <w:p w:rsidR="003028D6" w:rsidRDefault="003028D6" w:rsidP="00132035">
      <w:pPr>
        <w:pStyle w:val="Tit2"/>
      </w:pPr>
      <w:bookmarkStart w:id="9" w:name="_Toc290662654"/>
      <w:r w:rsidRPr="0067058E">
        <w:t xml:space="preserve">Distribuição de </w:t>
      </w:r>
      <w:r w:rsidR="00D66C20" w:rsidRPr="0067058E">
        <w:t>matrícula</w:t>
      </w:r>
      <w:r w:rsidRPr="0067058E">
        <w:t xml:space="preserve">s </w:t>
      </w:r>
      <w:r w:rsidR="000126AC">
        <w:t>total</w:t>
      </w:r>
      <w:r w:rsidRPr="0067058E">
        <w:t xml:space="preserve"> </w:t>
      </w:r>
      <w:r w:rsidR="001F3A5D" w:rsidRPr="0067058E">
        <w:t>segundo</w:t>
      </w:r>
      <w:r w:rsidRPr="0067058E">
        <w:t xml:space="preserve"> </w:t>
      </w:r>
      <w:r w:rsidR="00F378D8" w:rsidRPr="0067058E">
        <w:t>as áreas</w:t>
      </w:r>
      <w:r w:rsidR="007F0E73">
        <w:t xml:space="preserve"> de educação e formação</w:t>
      </w:r>
      <w:r w:rsidR="000126AC">
        <w:t xml:space="preserve"> por </w:t>
      </w:r>
      <w:r w:rsidR="00E54A2C">
        <w:t>género</w:t>
      </w:r>
      <w:bookmarkEnd w:id="9"/>
    </w:p>
    <w:p w:rsidR="00A45070" w:rsidRDefault="00E54A2C" w:rsidP="00E54A2C">
      <w:r>
        <w:t xml:space="preserve">Em termos globais, pode verificar-se ao longo destes 5 anos que existiu um decréscimo no número absoluto de matriculados do sexo masculino face ao acréscimo verificado nos matriculados do sexo feminino. </w:t>
      </w:r>
      <w:r w:rsidR="00A45070">
        <w:t xml:space="preserve">As mulheres são predominantes em todas as áreas excepto </w:t>
      </w:r>
      <w:proofErr w:type="gramStart"/>
      <w:r w:rsidR="00A45070">
        <w:t>em</w:t>
      </w:r>
      <w:proofErr w:type="gramEnd"/>
      <w:r w:rsidR="00A45070">
        <w:t xml:space="preserve">: </w:t>
      </w:r>
    </w:p>
    <w:p w:rsidR="00A45070" w:rsidRDefault="00A45070" w:rsidP="00A45070">
      <w:pPr>
        <w:pStyle w:val="ListParagraph"/>
        <w:numPr>
          <w:ilvl w:val="0"/>
          <w:numId w:val="49"/>
        </w:numPr>
      </w:pPr>
      <w:r>
        <w:t xml:space="preserve">Engenharia, Indústrias Transformadoras e Construção, </w:t>
      </w:r>
    </w:p>
    <w:p w:rsidR="00A45070" w:rsidRDefault="00A45070" w:rsidP="00A45070">
      <w:pPr>
        <w:pStyle w:val="ListParagraph"/>
        <w:numPr>
          <w:ilvl w:val="0"/>
          <w:numId w:val="49"/>
        </w:numPr>
      </w:pPr>
      <w:r>
        <w:t xml:space="preserve">Ciências, Matemática e Informática </w:t>
      </w:r>
    </w:p>
    <w:p w:rsidR="00E54A2C" w:rsidRPr="00E54A2C" w:rsidRDefault="00A45070" w:rsidP="00A45070">
      <w:pPr>
        <w:pStyle w:val="ListParagraph"/>
        <w:numPr>
          <w:ilvl w:val="0"/>
          <w:numId w:val="49"/>
        </w:numPr>
      </w:pPr>
      <w:r>
        <w:t>Serviços.</w:t>
      </w:r>
    </w:p>
    <w:p w:rsidR="00E54A2C" w:rsidRDefault="00E54A2C" w:rsidP="00E54A2C">
      <w:pPr>
        <w:pStyle w:val="Caption"/>
        <w:keepNext/>
      </w:pPr>
      <w:bookmarkStart w:id="10" w:name="_Toc290662023"/>
      <w:r>
        <w:t xml:space="preserve">Tabela </w:t>
      </w:r>
      <w:fldSimple w:instr=" SEQ Tabela \* ARABIC ">
        <w:r w:rsidR="00DC1B98">
          <w:rPr>
            <w:noProof/>
          </w:rPr>
          <w:t>4</w:t>
        </w:r>
      </w:fldSimple>
      <w:r>
        <w:t xml:space="preserve"> - Evolução dos matriculados por área do conhecimento, segundo o género</w:t>
      </w:r>
      <w:bookmarkEnd w:id="10"/>
    </w:p>
    <w:tbl>
      <w:tblPr>
        <w:tblW w:w="5000" w:type="pct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2"/>
        <w:gridCol w:w="426"/>
        <w:gridCol w:w="839"/>
        <w:gridCol w:w="838"/>
        <w:gridCol w:w="838"/>
        <w:gridCol w:w="838"/>
        <w:gridCol w:w="838"/>
        <w:gridCol w:w="835"/>
      </w:tblGrid>
      <w:tr w:rsidR="00AE4ECC" w:rsidRPr="00AE4ECC" w:rsidTr="005650DA">
        <w:trPr>
          <w:cantSplit/>
          <w:trHeight w:val="300"/>
          <w:tblHeader/>
        </w:trPr>
        <w:tc>
          <w:tcPr>
            <w:tcW w:w="1846" w:type="pct"/>
            <w:shd w:val="clear" w:color="auto" w:fill="EAF1DD" w:themeFill="accent3" w:themeFillTint="33"/>
            <w:noWrap/>
            <w:vAlign w:val="bottom"/>
            <w:hideMark/>
          </w:tcPr>
          <w:p w:rsidR="00AE4ECC" w:rsidRPr="00AE4ECC" w:rsidRDefault="00AE4ECC" w:rsidP="00AE4ECC">
            <w:pPr>
              <w:pStyle w:val="TabCab"/>
            </w:pPr>
            <w:r>
              <w:t>Área do Conhecimento</w:t>
            </w:r>
          </w:p>
        </w:tc>
        <w:tc>
          <w:tcPr>
            <w:tcW w:w="246" w:type="pct"/>
            <w:shd w:val="clear" w:color="auto" w:fill="EAF1DD" w:themeFill="accent3" w:themeFillTint="33"/>
            <w:noWrap/>
            <w:vAlign w:val="bottom"/>
            <w:hideMark/>
          </w:tcPr>
          <w:p w:rsidR="00AE4ECC" w:rsidRPr="00AE4ECC" w:rsidRDefault="00AE4ECC" w:rsidP="00AE4ECC">
            <w:pPr>
              <w:pStyle w:val="TabCab"/>
            </w:pPr>
          </w:p>
        </w:tc>
        <w:tc>
          <w:tcPr>
            <w:tcW w:w="485" w:type="pct"/>
            <w:shd w:val="clear" w:color="auto" w:fill="EAF1DD" w:themeFill="accent3" w:themeFillTint="33"/>
            <w:noWrap/>
            <w:vAlign w:val="bottom"/>
            <w:hideMark/>
          </w:tcPr>
          <w:p w:rsidR="00AE4ECC" w:rsidRPr="00AE4ECC" w:rsidRDefault="00AE4ECC" w:rsidP="00AE4ECC">
            <w:pPr>
              <w:pStyle w:val="TabCab"/>
            </w:pPr>
            <w:r w:rsidRPr="00AE4ECC">
              <w:t>2005</w:t>
            </w:r>
          </w:p>
        </w:tc>
        <w:tc>
          <w:tcPr>
            <w:tcW w:w="485" w:type="pct"/>
            <w:shd w:val="clear" w:color="auto" w:fill="EAF1DD" w:themeFill="accent3" w:themeFillTint="33"/>
            <w:noWrap/>
            <w:vAlign w:val="bottom"/>
            <w:hideMark/>
          </w:tcPr>
          <w:p w:rsidR="00AE4ECC" w:rsidRPr="00AE4ECC" w:rsidRDefault="00AE4ECC" w:rsidP="00AE4ECC">
            <w:pPr>
              <w:pStyle w:val="TabCab"/>
            </w:pPr>
            <w:r w:rsidRPr="00AE4ECC">
              <w:t>2006</w:t>
            </w:r>
          </w:p>
        </w:tc>
        <w:tc>
          <w:tcPr>
            <w:tcW w:w="485" w:type="pct"/>
            <w:shd w:val="clear" w:color="auto" w:fill="EAF1DD" w:themeFill="accent3" w:themeFillTint="33"/>
            <w:noWrap/>
            <w:vAlign w:val="bottom"/>
            <w:hideMark/>
          </w:tcPr>
          <w:p w:rsidR="00AE4ECC" w:rsidRPr="00AE4ECC" w:rsidRDefault="00AE4ECC" w:rsidP="00AE4ECC">
            <w:pPr>
              <w:pStyle w:val="TabCab"/>
            </w:pPr>
            <w:r w:rsidRPr="00AE4ECC">
              <w:t>2007</w:t>
            </w:r>
          </w:p>
        </w:tc>
        <w:tc>
          <w:tcPr>
            <w:tcW w:w="485" w:type="pct"/>
            <w:shd w:val="clear" w:color="auto" w:fill="EAF1DD" w:themeFill="accent3" w:themeFillTint="33"/>
            <w:noWrap/>
            <w:vAlign w:val="bottom"/>
            <w:hideMark/>
          </w:tcPr>
          <w:p w:rsidR="00AE4ECC" w:rsidRPr="00AE4ECC" w:rsidRDefault="00AE4ECC" w:rsidP="00AE4ECC">
            <w:pPr>
              <w:pStyle w:val="TabCab"/>
            </w:pPr>
            <w:r w:rsidRPr="00AE4ECC">
              <w:t>2008</w:t>
            </w:r>
          </w:p>
        </w:tc>
        <w:tc>
          <w:tcPr>
            <w:tcW w:w="485" w:type="pct"/>
            <w:shd w:val="clear" w:color="auto" w:fill="EAF1DD" w:themeFill="accent3" w:themeFillTint="33"/>
            <w:noWrap/>
            <w:vAlign w:val="bottom"/>
            <w:hideMark/>
          </w:tcPr>
          <w:p w:rsidR="00AE4ECC" w:rsidRPr="00AE4ECC" w:rsidRDefault="00AE4ECC" w:rsidP="00AE4ECC">
            <w:pPr>
              <w:pStyle w:val="TabCab"/>
            </w:pPr>
            <w:r w:rsidRPr="00AE4ECC">
              <w:t>2009</w:t>
            </w:r>
          </w:p>
        </w:tc>
        <w:tc>
          <w:tcPr>
            <w:tcW w:w="483" w:type="pct"/>
            <w:shd w:val="clear" w:color="auto" w:fill="EAF1DD" w:themeFill="accent3" w:themeFillTint="33"/>
            <w:noWrap/>
            <w:vAlign w:val="bottom"/>
            <w:hideMark/>
          </w:tcPr>
          <w:p w:rsidR="00AE4ECC" w:rsidRPr="00AE4ECC" w:rsidRDefault="00AE4ECC" w:rsidP="00AE4ECC">
            <w:pPr>
              <w:pStyle w:val="TabCab"/>
            </w:pPr>
            <w:r w:rsidRPr="00AE4ECC">
              <w:t>2010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 w:val="restart"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  <w:r w:rsidRPr="00AE4ECC">
              <w:t>Educação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m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27646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21581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17622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16198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15667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17173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h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5259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4672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3759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3163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2886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3577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 w:val="restart"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  <w:r w:rsidRPr="00AE4ECC">
              <w:t>Artes e Humanidades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m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20280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19144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18230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18937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18219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19062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h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12436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12462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12856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13884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13951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15125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 w:val="restart"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  <w:r w:rsidRPr="00AE4ECC">
              <w:t>Ciências Sociais, Comércio e Direito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m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71286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68777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68284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69691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69183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70677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h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48116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46920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48925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50714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50120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51249</w:t>
            </w:r>
          </w:p>
        </w:tc>
      </w:tr>
      <w:tr w:rsidR="00AE4ECC" w:rsidRPr="00AE4ECC" w:rsidTr="005650DA">
        <w:trPr>
          <w:cantSplit/>
          <w:trHeight w:val="300"/>
        </w:trPr>
        <w:tc>
          <w:tcPr>
            <w:tcW w:w="1846" w:type="pct"/>
            <w:vMerge w:val="restart"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  <w:r w:rsidRPr="00AE4ECC">
              <w:t>Ciências, Matemática e Informática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m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14181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13252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12904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13707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12787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12980</w:t>
            </w:r>
          </w:p>
        </w:tc>
      </w:tr>
      <w:tr w:rsidR="00AE4ECC" w:rsidRPr="00AE4ECC" w:rsidTr="005650DA">
        <w:trPr>
          <w:cantSplit/>
          <w:trHeight w:val="300"/>
        </w:trPr>
        <w:tc>
          <w:tcPr>
            <w:tcW w:w="1846" w:type="pct"/>
            <w:vMerge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h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14847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13562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13816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14641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14624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15096</w:t>
            </w:r>
          </w:p>
        </w:tc>
      </w:tr>
      <w:tr w:rsidR="00AE4ECC" w:rsidRPr="00AE4ECC" w:rsidTr="005650DA">
        <w:trPr>
          <w:cantSplit/>
          <w:trHeight w:val="300"/>
        </w:trPr>
        <w:tc>
          <w:tcPr>
            <w:tcW w:w="1846" w:type="pct"/>
            <w:vMerge w:val="restart"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  <w:r w:rsidRPr="00AE4ECC">
              <w:t>Engenharia, Indústrias Transformadoras e Construção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m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21599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20739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20543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21.187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20.946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21592</w:t>
            </w:r>
          </w:p>
        </w:tc>
      </w:tr>
      <w:tr w:rsidR="00AE4ECC" w:rsidRPr="00AE4ECC" w:rsidTr="005650DA">
        <w:trPr>
          <w:cantSplit/>
          <w:trHeight w:val="300"/>
        </w:trPr>
        <w:tc>
          <w:tcPr>
            <w:tcW w:w="1846" w:type="pct"/>
            <w:vMerge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h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61480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59880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61258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62.854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61.699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63085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 w:val="restart"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  <w:r w:rsidRPr="00AE4ECC">
              <w:t>Agricultura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m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4251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3947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3887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4.189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3.864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3872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h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3525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3098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3052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3.568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3.218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3152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 w:val="restart"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  <w:r w:rsidRPr="00AE4ECC">
              <w:t>Saúde e Protecção Social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m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42446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45268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46443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47944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48037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48373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h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12755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13446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14156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14445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14372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14155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 w:val="restart"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  <w:r w:rsidRPr="00AE4ECC">
              <w:t>Serviços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m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10364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10084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9995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9887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10299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10747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h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10466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10480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10999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11908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13130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corpo"/>
            </w:pPr>
            <w:r w:rsidRPr="00AE4ECC">
              <w:t>13712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 w:val="restart"/>
            <w:shd w:val="clear" w:color="auto" w:fill="auto"/>
            <w:noWrap/>
            <w:hideMark/>
          </w:tcPr>
          <w:p w:rsidR="00AE4ECC" w:rsidRPr="00AE4ECC" w:rsidRDefault="00AE4ECC" w:rsidP="00776FD3">
            <w:pPr>
              <w:pStyle w:val="Tab1col"/>
            </w:pPr>
            <w:r w:rsidRPr="00AE4ECC">
              <w:t>Total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m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212.053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202792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197908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201740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199002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204476</w:t>
            </w:r>
          </w:p>
        </w:tc>
      </w:tr>
      <w:tr w:rsidR="00AE4ECC" w:rsidRPr="00AE4ECC" w:rsidTr="005650DA">
        <w:trPr>
          <w:trHeight w:val="300"/>
        </w:trPr>
        <w:tc>
          <w:tcPr>
            <w:tcW w:w="1846" w:type="pct"/>
            <w:vMerge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1col"/>
            </w:pPr>
            <w:proofErr w:type="gramStart"/>
            <w:r w:rsidRPr="00AE4ECC">
              <w:t>h</w:t>
            </w:r>
            <w:proofErr w:type="gramEnd"/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168.884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164520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168821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175177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174000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AE4ECC" w:rsidRPr="00AE4ECC" w:rsidRDefault="00AE4ECC" w:rsidP="00776FD3">
            <w:pPr>
              <w:pStyle w:val="Tabtot"/>
            </w:pPr>
            <w:r w:rsidRPr="00AE4ECC">
              <w:t>179151</w:t>
            </w:r>
          </w:p>
        </w:tc>
      </w:tr>
    </w:tbl>
    <w:p w:rsidR="001F56E5" w:rsidRPr="0067058E" w:rsidRDefault="001F56E5" w:rsidP="001F56E5">
      <w:pPr>
        <w:pStyle w:val="NOTA"/>
      </w:pPr>
      <w:r w:rsidRPr="0067058E">
        <w:t xml:space="preserve">Fonte: </w:t>
      </w:r>
      <w:r w:rsidRPr="005A4DF2">
        <w:t>GPEARI</w:t>
      </w:r>
      <w:r>
        <w:t>/MCTES - DIMASRAIDES</w:t>
      </w:r>
      <w:r w:rsidRPr="0067058E">
        <w:t xml:space="preserve"> </w:t>
      </w:r>
    </w:p>
    <w:p w:rsidR="001F56E5" w:rsidRPr="0067058E" w:rsidRDefault="001F56E5" w:rsidP="001F56E5">
      <w:pPr>
        <w:pStyle w:val="Tit2"/>
      </w:pPr>
      <w:bookmarkStart w:id="11" w:name="_Toc290662655"/>
      <w:r w:rsidRPr="0067058E">
        <w:t xml:space="preserve">Distribuição de matrículas </w:t>
      </w:r>
      <w:r>
        <w:t>por ensino superior público e privado</w:t>
      </w:r>
      <w:bookmarkEnd w:id="11"/>
    </w:p>
    <w:p w:rsidR="006D4BB5" w:rsidRDefault="005650DA" w:rsidP="001F56E5">
      <w:r>
        <w:t>O número de matriculados no ensino superior Privado, ao contrário do Público, reflecte um decréscimo</w:t>
      </w:r>
      <w:r w:rsidR="00A45070">
        <w:t xml:space="preserve"> substancial</w:t>
      </w:r>
      <w:r>
        <w:t>.</w:t>
      </w:r>
    </w:p>
    <w:p w:rsidR="00E54A2C" w:rsidRDefault="00E54A2C" w:rsidP="00E54A2C">
      <w:pPr>
        <w:pStyle w:val="Caption"/>
        <w:keepNext/>
      </w:pPr>
      <w:bookmarkStart w:id="12" w:name="_Toc290662024"/>
      <w:r>
        <w:t xml:space="preserve">Tabela </w:t>
      </w:r>
      <w:fldSimple w:instr=" SEQ Tabela \* ARABIC ">
        <w:r w:rsidR="00DC1B98">
          <w:rPr>
            <w:noProof/>
          </w:rPr>
          <w:t>5</w:t>
        </w:r>
      </w:fldSimple>
      <w:r>
        <w:t xml:space="preserve"> - </w:t>
      </w:r>
      <w:r w:rsidR="00A45070">
        <w:t>Evolução anual da matrícula, segundo a natureza de ensino</w:t>
      </w:r>
      <w:bookmarkEnd w:id="12"/>
    </w:p>
    <w:tbl>
      <w:tblPr>
        <w:tblW w:w="3840" w:type="dxa"/>
        <w:tblInd w:w="55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1F56E5" w:rsidRPr="001F56E5" w:rsidTr="001F56E5">
        <w:trPr>
          <w:trHeight w:val="300"/>
        </w:trPr>
        <w:tc>
          <w:tcPr>
            <w:tcW w:w="960" w:type="dxa"/>
            <w:shd w:val="clear" w:color="auto" w:fill="EAF1DD" w:themeFill="accent3" w:themeFillTint="33"/>
            <w:noWrap/>
            <w:vAlign w:val="bottom"/>
            <w:hideMark/>
          </w:tcPr>
          <w:p w:rsidR="001F56E5" w:rsidRPr="001F56E5" w:rsidRDefault="001F56E5" w:rsidP="001F56E5">
            <w:pPr>
              <w:pStyle w:val="TabCab"/>
            </w:pPr>
            <w:r w:rsidRPr="001F56E5">
              <w:t>Ano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bottom"/>
            <w:hideMark/>
          </w:tcPr>
          <w:p w:rsidR="001F56E5" w:rsidRPr="001F56E5" w:rsidRDefault="001F56E5" w:rsidP="001F56E5">
            <w:pPr>
              <w:pStyle w:val="TabCab"/>
            </w:pPr>
            <w:r w:rsidRPr="001F56E5">
              <w:t>Público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bottom"/>
            <w:hideMark/>
          </w:tcPr>
          <w:p w:rsidR="001F56E5" w:rsidRPr="001F56E5" w:rsidRDefault="001F56E5" w:rsidP="001F56E5">
            <w:pPr>
              <w:pStyle w:val="TabCab"/>
            </w:pPr>
            <w:r w:rsidRPr="001F56E5">
              <w:t xml:space="preserve"> Privado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bottom"/>
            <w:hideMark/>
          </w:tcPr>
          <w:p w:rsidR="001F56E5" w:rsidRPr="001F56E5" w:rsidRDefault="001F56E5" w:rsidP="001F56E5">
            <w:pPr>
              <w:pStyle w:val="TabCab"/>
            </w:pPr>
            <w:r w:rsidRPr="001F56E5">
              <w:t>Total</w:t>
            </w:r>
          </w:p>
        </w:tc>
      </w:tr>
      <w:tr w:rsidR="001F56E5" w:rsidRPr="001F56E5" w:rsidTr="001F56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1col"/>
            </w:pPr>
            <w:r w:rsidRPr="001F56E5"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282273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98664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tot"/>
            </w:pPr>
            <w:r w:rsidRPr="001F56E5">
              <w:t>380937</w:t>
            </w:r>
          </w:p>
        </w:tc>
      </w:tr>
      <w:tr w:rsidR="001F56E5" w:rsidRPr="001F56E5" w:rsidTr="001F56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1col"/>
            </w:pPr>
            <w:r w:rsidRPr="001F56E5"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275521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91791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tot"/>
            </w:pPr>
            <w:r w:rsidRPr="001F56E5">
              <w:t>367312</w:t>
            </w:r>
          </w:p>
        </w:tc>
      </w:tr>
      <w:tr w:rsidR="001F56E5" w:rsidRPr="001F56E5" w:rsidTr="001F56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1col"/>
            </w:pPr>
            <w:r w:rsidRPr="001F56E5"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275321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91408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tot"/>
            </w:pPr>
            <w:r w:rsidRPr="001F56E5">
              <w:t>366729</w:t>
            </w:r>
          </w:p>
        </w:tc>
      </w:tr>
      <w:tr w:rsidR="001F56E5" w:rsidRPr="001F56E5" w:rsidTr="001F56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1col"/>
            </w:pPr>
            <w:r w:rsidRPr="001F56E5"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284333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92584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tot"/>
            </w:pPr>
            <w:r w:rsidRPr="001F56E5">
              <w:t>376917</w:t>
            </w:r>
          </w:p>
        </w:tc>
      </w:tr>
      <w:tr w:rsidR="001F56E5" w:rsidRPr="001F56E5" w:rsidTr="001F56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1col"/>
            </w:pPr>
            <w:r w:rsidRPr="001F56E5"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282438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90564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tot"/>
            </w:pPr>
            <w:r w:rsidRPr="001F56E5">
              <w:t>373002</w:t>
            </w:r>
          </w:p>
        </w:tc>
      </w:tr>
      <w:tr w:rsidR="001F56E5" w:rsidRPr="001F56E5" w:rsidTr="001F56E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1col"/>
            </w:pPr>
            <w:r w:rsidRPr="001F56E5"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293828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corpo"/>
            </w:pPr>
            <w:r w:rsidRPr="001F56E5">
              <w:t>89799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56E5" w:rsidRPr="001F56E5" w:rsidRDefault="001F56E5" w:rsidP="00776FD3">
            <w:pPr>
              <w:pStyle w:val="Tabtot"/>
            </w:pPr>
            <w:r w:rsidRPr="001F56E5">
              <w:t>383627</w:t>
            </w:r>
          </w:p>
        </w:tc>
      </w:tr>
    </w:tbl>
    <w:p w:rsidR="001F56E5" w:rsidRPr="0067058E" w:rsidRDefault="001F56E5" w:rsidP="001F56E5">
      <w:pPr>
        <w:pStyle w:val="NOTA"/>
      </w:pPr>
      <w:r w:rsidRPr="0067058E">
        <w:t xml:space="preserve">Fonte: </w:t>
      </w:r>
      <w:r w:rsidRPr="005A4DF2">
        <w:t>GPEARI</w:t>
      </w:r>
      <w:r>
        <w:t>/MCTES - DIMASRAIDES</w:t>
      </w:r>
      <w:r w:rsidRPr="0067058E">
        <w:t xml:space="preserve"> </w:t>
      </w:r>
    </w:p>
    <w:p w:rsidR="000126AC" w:rsidRDefault="000126AC" w:rsidP="000126AC">
      <w:pPr>
        <w:pStyle w:val="Tit2"/>
      </w:pPr>
      <w:bookmarkStart w:id="13" w:name="_Toc290662656"/>
      <w:r w:rsidRPr="0067058E">
        <w:t xml:space="preserve">Distribuição de matrículas </w:t>
      </w:r>
      <w:r>
        <w:t>total</w:t>
      </w:r>
      <w:r w:rsidRPr="0067058E">
        <w:t xml:space="preserve"> segundo as áreas</w:t>
      </w:r>
      <w:r>
        <w:t xml:space="preserve"> de educação e formação</w:t>
      </w:r>
      <w:bookmarkEnd w:id="13"/>
    </w:p>
    <w:p w:rsidR="00A45070" w:rsidRDefault="00A45070" w:rsidP="00A45070">
      <w:r>
        <w:t xml:space="preserve">As áreas de educação e formação predominantes em 2010 são </w:t>
      </w:r>
      <w:r w:rsidRPr="00A45070">
        <w:t>Ciências Sociais, Comércio e Direito</w:t>
      </w:r>
      <w:r>
        <w:t xml:space="preserve"> e </w:t>
      </w:r>
      <w:r w:rsidRPr="00A45070">
        <w:t>Engenharia, Indústrias Transformadoras e Construção</w:t>
      </w:r>
      <w:r>
        <w:t>. Em termos de variação de 2005 a 2010, identifica-se um decréscimo acentuado na área de Educação e um acréscimo acentuado na Saúde e Protecção Social. Todas as restantes mantiveram-se relativamente estáveis.</w:t>
      </w:r>
    </w:p>
    <w:p w:rsidR="00A45070" w:rsidRPr="00A45070" w:rsidRDefault="00A45070" w:rsidP="00A45070"/>
    <w:tbl>
      <w:tblPr>
        <w:tblW w:w="5000" w:type="pct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863"/>
        <w:gridCol w:w="863"/>
        <w:gridCol w:w="863"/>
        <w:gridCol w:w="863"/>
        <w:gridCol w:w="863"/>
        <w:gridCol w:w="859"/>
      </w:tblGrid>
      <w:tr w:rsidR="000126AC" w:rsidRPr="000126AC" w:rsidTr="000126AC">
        <w:trPr>
          <w:trHeight w:val="300"/>
        </w:trPr>
        <w:tc>
          <w:tcPr>
            <w:tcW w:w="2008" w:type="pct"/>
            <w:shd w:val="clear" w:color="auto" w:fill="EAF1DD" w:themeFill="accent3" w:themeFillTint="33"/>
            <w:noWrap/>
            <w:vAlign w:val="center"/>
            <w:hideMark/>
          </w:tcPr>
          <w:p w:rsidR="000126AC" w:rsidRPr="000126AC" w:rsidRDefault="000126AC" w:rsidP="000126AC">
            <w:pPr>
              <w:pStyle w:val="TabCab"/>
            </w:pPr>
            <w:r w:rsidRPr="000126AC">
              <w:t>Ano</w:t>
            </w:r>
          </w:p>
        </w:tc>
        <w:tc>
          <w:tcPr>
            <w:tcW w:w="499" w:type="pct"/>
            <w:shd w:val="clear" w:color="auto" w:fill="EAF1DD" w:themeFill="accent3" w:themeFillTint="33"/>
            <w:noWrap/>
            <w:vAlign w:val="center"/>
            <w:hideMark/>
          </w:tcPr>
          <w:p w:rsidR="000126AC" w:rsidRPr="000126AC" w:rsidRDefault="000126AC" w:rsidP="000126AC">
            <w:pPr>
              <w:pStyle w:val="TabCab"/>
            </w:pPr>
            <w:r w:rsidRPr="000126AC">
              <w:t>2005</w:t>
            </w:r>
          </w:p>
        </w:tc>
        <w:tc>
          <w:tcPr>
            <w:tcW w:w="499" w:type="pct"/>
            <w:shd w:val="clear" w:color="auto" w:fill="EAF1DD" w:themeFill="accent3" w:themeFillTint="33"/>
            <w:noWrap/>
            <w:vAlign w:val="center"/>
            <w:hideMark/>
          </w:tcPr>
          <w:p w:rsidR="000126AC" w:rsidRPr="000126AC" w:rsidRDefault="000126AC" w:rsidP="000126AC">
            <w:pPr>
              <w:pStyle w:val="TabCab"/>
            </w:pPr>
            <w:r w:rsidRPr="000126AC">
              <w:t>2006</w:t>
            </w:r>
          </w:p>
        </w:tc>
        <w:tc>
          <w:tcPr>
            <w:tcW w:w="499" w:type="pct"/>
            <w:shd w:val="clear" w:color="auto" w:fill="EAF1DD" w:themeFill="accent3" w:themeFillTint="33"/>
            <w:noWrap/>
            <w:vAlign w:val="center"/>
            <w:hideMark/>
          </w:tcPr>
          <w:p w:rsidR="000126AC" w:rsidRPr="000126AC" w:rsidRDefault="000126AC" w:rsidP="000126AC">
            <w:pPr>
              <w:pStyle w:val="TabCab"/>
            </w:pPr>
            <w:r w:rsidRPr="000126AC">
              <w:t>2007</w:t>
            </w:r>
          </w:p>
        </w:tc>
        <w:tc>
          <w:tcPr>
            <w:tcW w:w="499" w:type="pct"/>
            <w:shd w:val="clear" w:color="auto" w:fill="EAF1DD" w:themeFill="accent3" w:themeFillTint="33"/>
            <w:noWrap/>
            <w:vAlign w:val="center"/>
            <w:hideMark/>
          </w:tcPr>
          <w:p w:rsidR="000126AC" w:rsidRPr="000126AC" w:rsidRDefault="000126AC" w:rsidP="000126AC">
            <w:pPr>
              <w:pStyle w:val="TabCab"/>
            </w:pPr>
            <w:r w:rsidRPr="000126AC">
              <w:t>2008</w:t>
            </w:r>
          </w:p>
        </w:tc>
        <w:tc>
          <w:tcPr>
            <w:tcW w:w="499" w:type="pct"/>
            <w:shd w:val="clear" w:color="auto" w:fill="EAF1DD" w:themeFill="accent3" w:themeFillTint="33"/>
            <w:noWrap/>
            <w:vAlign w:val="center"/>
            <w:hideMark/>
          </w:tcPr>
          <w:p w:rsidR="000126AC" w:rsidRPr="000126AC" w:rsidRDefault="000126AC" w:rsidP="000126AC">
            <w:pPr>
              <w:pStyle w:val="TabCab"/>
            </w:pPr>
            <w:r w:rsidRPr="000126AC">
              <w:t>2009</w:t>
            </w:r>
          </w:p>
        </w:tc>
        <w:tc>
          <w:tcPr>
            <w:tcW w:w="499" w:type="pct"/>
            <w:shd w:val="clear" w:color="auto" w:fill="EAF1DD" w:themeFill="accent3" w:themeFillTint="33"/>
            <w:noWrap/>
            <w:vAlign w:val="center"/>
            <w:hideMark/>
          </w:tcPr>
          <w:p w:rsidR="000126AC" w:rsidRPr="000126AC" w:rsidRDefault="000126AC" w:rsidP="000126AC">
            <w:pPr>
              <w:pStyle w:val="TabCab"/>
            </w:pPr>
            <w:r w:rsidRPr="000126AC">
              <w:t>2010</w:t>
            </w:r>
          </w:p>
        </w:tc>
      </w:tr>
      <w:tr w:rsidR="000126AC" w:rsidRPr="000126AC" w:rsidTr="000126AC">
        <w:trPr>
          <w:trHeight w:val="300"/>
        </w:trPr>
        <w:tc>
          <w:tcPr>
            <w:tcW w:w="2008" w:type="pct"/>
            <w:shd w:val="clear" w:color="auto" w:fill="auto"/>
            <w:noWrap/>
            <w:hideMark/>
          </w:tcPr>
          <w:p w:rsidR="000126AC" w:rsidRPr="000126AC" w:rsidRDefault="000126AC" w:rsidP="00776FD3">
            <w:pPr>
              <w:pStyle w:val="Tab1col"/>
            </w:pPr>
            <w:r w:rsidRPr="000126AC">
              <w:t>Educação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32905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26253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21381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19361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18553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20750</w:t>
            </w:r>
          </w:p>
        </w:tc>
      </w:tr>
      <w:tr w:rsidR="000126AC" w:rsidRPr="000126AC" w:rsidTr="000126AC">
        <w:trPr>
          <w:trHeight w:val="300"/>
        </w:trPr>
        <w:tc>
          <w:tcPr>
            <w:tcW w:w="2008" w:type="pct"/>
            <w:shd w:val="clear" w:color="auto" w:fill="auto"/>
            <w:noWrap/>
            <w:hideMark/>
          </w:tcPr>
          <w:p w:rsidR="000126AC" w:rsidRPr="000126AC" w:rsidRDefault="000126AC" w:rsidP="00776FD3">
            <w:pPr>
              <w:pStyle w:val="Tab1col"/>
            </w:pPr>
            <w:r w:rsidRPr="000126AC">
              <w:t xml:space="preserve">Artes e </w:t>
            </w:r>
            <w:r w:rsidRPr="00776FD3">
              <w:t>Humanidades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32716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31606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31086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32821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32170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34187</w:t>
            </w:r>
          </w:p>
        </w:tc>
      </w:tr>
      <w:tr w:rsidR="000126AC" w:rsidRPr="000126AC" w:rsidTr="000126AC">
        <w:trPr>
          <w:trHeight w:val="300"/>
        </w:trPr>
        <w:tc>
          <w:tcPr>
            <w:tcW w:w="2008" w:type="pct"/>
            <w:shd w:val="clear" w:color="auto" w:fill="auto"/>
            <w:noWrap/>
            <w:hideMark/>
          </w:tcPr>
          <w:p w:rsidR="000126AC" w:rsidRPr="000126AC" w:rsidRDefault="000126AC" w:rsidP="00776FD3">
            <w:pPr>
              <w:pStyle w:val="Tab1col"/>
            </w:pPr>
            <w:r w:rsidRPr="000126AC">
              <w:t>Ciências Sociais, Comércio e Direito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119402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115697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117209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120405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119303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121926</w:t>
            </w:r>
          </w:p>
        </w:tc>
      </w:tr>
      <w:tr w:rsidR="000126AC" w:rsidRPr="000126AC" w:rsidTr="000126AC">
        <w:trPr>
          <w:trHeight w:val="300"/>
        </w:trPr>
        <w:tc>
          <w:tcPr>
            <w:tcW w:w="2008" w:type="pct"/>
            <w:shd w:val="clear" w:color="auto" w:fill="auto"/>
            <w:noWrap/>
            <w:hideMark/>
          </w:tcPr>
          <w:p w:rsidR="000126AC" w:rsidRPr="000126AC" w:rsidRDefault="000126AC" w:rsidP="00776FD3">
            <w:pPr>
              <w:pStyle w:val="Tab1col"/>
            </w:pPr>
            <w:r w:rsidRPr="000126AC">
              <w:t>Ciências, Matemática e Informática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29028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26814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26720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28348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27411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28076</w:t>
            </w:r>
          </w:p>
        </w:tc>
      </w:tr>
      <w:tr w:rsidR="000126AC" w:rsidRPr="000126AC" w:rsidTr="000126AC">
        <w:trPr>
          <w:trHeight w:val="300"/>
        </w:trPr>
        <w:tc>
          <w:tcPr>
            <w:tcW w:w="2008" w:type="pct"/>
            <w:shd w:val="clear" w:color="auto" w:fill="auto"/>
            <w:noWrap/>
            <w:hideMark/>
          </w:tcPr>
          <w:p w:rsidR="000126AC" w:rsidRPr="000126AC" w:rsidRDefault="000126AC" w:rsidP="00776FD3">
            <w:pPr>
              <w:pStyle w:val="Tab1col"/>
            </w:pPr>
            <w:r w:rsidRPr="000126AC">
              <w:t>Engenharia, Indústrias Transformadoras e Construção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83079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80619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81801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84.041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82.645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84677</w:t>
            </w:r>
          </w:p>
        </w:tc>
      </w:tr>
      <w:tr w:rsidR="000126AC" w:rsidRPr="000126AC" w:rsidTr="000126AC">
        <w:trPr>
          <w:trHeight w:val="300"/>
        </w:trPr>
        <w:tc>
          <w:tcPr>
            <w:tcW w:w="2008" w:type="pct"/>
            <w:shd w:val="clear" w:color="auto" w:fill="auto"/>
            <w:noWrap/>
            <w:hideMark/>
          </w:tcPr>
          <w:p w:rsidR="000126AC" w:rsidRPr="000126AC" w:rsidRDefault="000126AC" w:rsidP="00776FD3">
            <w:pPr>
              <w:pStyle w:val="Tab1col"/>
            </w:pPr>
            <w:r w:rsidRPr="000126AC">
              <w:t>Agricultura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7776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7045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6939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7.757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7.082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7024</w:t>
            </w:r>
          </w:p>
        </w:tc>
      </w:tr>
      <w:tr w:rsidR="000126AC" w:rsidRPr="000126AC" w:rsidTr="000126AC">
        <w:trPr>
          <w:trHeight w:val="300"/>
        </w:trPr>
        <w:tc>
          <w:tcPr>
            <w:tcW w:w="2008" w:type="pct"/>
            <w:shd w:val="clear" w:color="auto" w:fill="auto"/>
            <w:noWrap/>
            <w:hideMark/>
          </w:tcPr>
          <w:p w:rsidR="000126AC" w:rsidRPr="000126AC" w:rsidRDefault="000126AC" w:rsidP="00776FD3">
            <w:pPr>
              <w:pStyle w:val="Tab1col"/>
            </w:pPr>
            <w:r w:rsidRPr="000126AC">
              <w:t>Saúde e Protecção Social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55201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58714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60599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62389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62409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62528</w:t>
            </w:r>
          </w:p>
        </w:tc>
      </w:tr>
      <w:tr w:rsidR="000126AC" w:rsidRPr="000126AC" w:rsidTr="000126AC">
        <w:trPr>
          <w:trHeight w:val="300"/>
        </w:trPr>
        <w:tc>
          <w:tcPr>
            <w:tcW w:w="2008" w:type="pct"/>
            <w:shd w:val="clear" w:color="auto" w:fill="auto"/>
            <w:noWrap/>
            <w:hideMark/>
          </w:tcPr>
          <w:p w:rsidR="000126AC" w:rsidRPr="000126AC" w:rsidRDefault="000126AC" w:rsidP="00776FD3">
            <w:pPr>
              <w:pStyle w:val="Tab1col"/>
            </w:pPr>
            <w:r w:rsidRPr="000126AC">
              <w:t>Serviços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20830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20564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20994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21795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23429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corpo"/>
            </w:pPr>
            <w:r w:rsidRPr="00776FD3">
              <w:t>24459</w:t>
            </w:r>
          </w:p>
        </w:tc>
      </w:tr>
      <w:tr w:rsidR="000126AC" w:rsidRPr="000126AC" w:rsidTr="000126AC">
        <w:trPr>
          <w:trHeight w:val="300"/>
        </w:trPr>
        <w:tc>
          <w:tcPr>
            <w:tcW w:w="2008" w:type="pct"/>
            <w:shd w:val="clear" w:color="auto" w:fill="auto"/>
            <w:noWrap/>
            <w:hideMark/>
          </w:tcPr>
          <w:p w:rsidR="000126AC" w:rsidRPr="000126AC" w:rsidRDefault="000126AC" w:rsidP="00776FD3">
            <w:pPr>
              <w:pStyle w:val="Tab1col"/>
            </w:pPr>
            <w:r w:rsidRPr="000126AC">
              <w:t>Total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tot"/>
            </w:pPr>
            <w:r w:rsidRPr="00776FD3">
              <w:t>380.937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tot"/>
            </w:pPr>
            <w:r w:rsidRPr="00776FD3">
              <w:t>367312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tot"/>
            </w:pPr>
            <w:r w:rsidRPr="00776FD3">
              <w:t>366729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tot"/>
            </w:pPr>
            <w:r w:rsidRPr="00776FD3">
              <w:t>376917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tot"/>
            </w:pPr>
            <w:r w:rsidRPr="00776FD3">
              <w:t>373002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0126AC" w:rsidRPr="00776FD3" w:rsidRDefault="000126AC" w:rsidP="00776FD3">
            <w:pPr>
              <w:pStyle w:val="Tabtot"/>
            </w:pPr>
            <w:r w:rsidRPr="00776FD3">
              <w:t>383627</w:t>
            </w:r>
          </w:p>
        </w:tc>
      </w:tr>
    </w:tbl>
    <w:p w:rsidR="002D2D68" w:rsidRDefault="002D2D68" w:rsidP="002D2D68"/>
    <w:p w:rsidR="00351BBD" w:rsidRPr="0067058E" w:rsidRDefault="00351BBD" w:rsidP="00351BBD">
      <w:pPr>
        <w:pStyle w:val="Tit2"/>
      </w:pPr>
      <w:bookmarkStart w:id="14" w:name="_Toc290662657"/>
      <w:r w:rsidRPr="0067058E">
        <w:t>Distribuição social da matrícula segundo a classe social</w:t>
      </w:r>
      <w:bookmarkEnd w:id="14"/>
    </w:p>
    <w:p w:rsidR="00351BBD" w:rsidRPr="00351BBD" w:rsidRDefault="00174E3C" w:rsidP="00351BBD">
      <w:r w:rsidRPr="00174E3C">
        <w:rPr>
          <w:highlight w:val="yellow"/>
        </w:rPr>
        <w:t>Indicador em falta</w:t>
      </w:r>
      <w:r w:rsidR="007A0408">
        <w:t>.</w:t>
      </w:r>
    </w:p>
    <w:p w:rsidR="003028D6" w:rsidRDefault="003028D6" w:rsidP="00132035">
      <w:pPr>
        <w:pStyle w:val="Tit2"/>
      </w:pPr>
      <w:bookmarkStart w:id="15" w:name="_Toc290662658"/>
      <w:r w:rsidRPr="0067058E">
        <w:t>Modificações recentes nas pol</w:t>
      </w:r>
      <w:r w:rsidR="007600E1">
        <w:t>í</w:t>
      </w:r>
      <w:r w:rsidRPr="0067058E">
        <w:t>tica</w:t>
      </w:r>
      <w:r w:rsidR="001E76F1" w:rsidRPr="0067058E">
        <w:t>s e procedimentos de acesso ao Ensino S</w:t>
      </w:r>
      <w:r w:rsidRPr="0067058E">
        <w:t>uperior</w:t>
      </w:r>
      <w:bookmarkEnd w:id="15"/>
    </w:p>
    <w:p w:rsidR="00AB0B7B" w:rsidRPr="00351BBD" w:rsidRDefault="00AB0B7B" w:rsidP="00AB0B7B">
      <w:r w:rsidRPr="00351BBD">
        <w:t>O sistema de acesso ao Ensino Superior em Portugal</w:t>
      </w:r>
      <w:r>
        <w:t xml:space="preserve"> passou recentemente por um conjunto de modificações associadas à construção do espaço europeu de ensino superior, integrado no Processo de Bolonha, e que estão relacionadas com a equivalência europeia dos cursos</w:t>
      </w:r>
      <w:r w:rsidRPr="00351BBD">
        <w:t>.</w:t>
      </w:r>
    </w:p>
    <w:p w:rsidR="00AB0B7B" w:rsidRPr="00683DDD" w:rsidRDefault="00AB0B7B" w:rsidP="00AB0B7B">
      <w:r w:rsidRPr="00683DDD">
        <w:t>O acesso ao Ensino Superior Público em Portugal está dependente da fixação de um tecto máximo de vagas</w:t>
      </w:r>
      <w:r>
        <w:t xml:space="preserve"> (Decreto-lei n,º 90/2008)</w:t>
      </w:r>
      <w:r w:rsidRPr="00683DDD">
        <w:t>. Estas vagas são definidas pelas instituições de Ensino Superior, dentro de parâmetros definidos pelo Ministério da Ciência, Tecnologia e Ensino Superior a quem compete a aprovação das mesmas</w:t>
      </w:r>
      <w:r>
        <w:t>, bem como da Comissão Nacional de Acesso</w:t>
      </w:r>
      <w:r w:rsidRPr="008E72D7">
        <w:t xml:space="preserve"> ao Ensino Superior </w:t>
      </w:r>
      <w:r>
        <w:t>(CNAES) e dos Ministérios de Tutela no caso de instituições de Dupla Tutela</w:t>
      </w:r>
      <w:r w:rsidRPr="00683DDD">
        <w:t xml:space="preserve">. </w:t>
      </w:r>
    </w:p>
    <w:p w:rsidR="00AB0B7B" w:rsidRPr="00683DDD" w:rsidRDefault="00AB0B7B" w:rsidP="00AB0B7B">
      <w:r w:rsidRPr="00683DDD">
        <w:t xml:space="preserve">Estão habilitados a candidatar-se ao Ensino Superior: </w:t>
      </w:r>
    </w:p>
    <w:p w:rsidR="00AB0B7B" w:rsidRPr="001024BE" w:rsidRDefault="00AB0B7B" w:rsidP="00AB0B7B">
      <w:pPr>
        <w:pStyle w:val="ListParagraph"/>
        <w:numPr>
          <w:ilvl w:val="0"/>
          <w:numId w:val="42"/>
        </w:numPr>
      </w:pPr>
      <w:proofErr w:type="gramStart"/>
      <w:r w:rsidRPr="001024BE">
        <w:t>todos</w:t>
      </w:r>
      <w:proofErr w:type="gramEnd"/>
      <w:r w:rsidRPr="001024BE">
        <w:t xml:space="preserve"> os estudantes que possuam o curso do Ensino Secundário completo ou equivalente (segundo o Decreto-Lei N.º 296-A/98 de 25 de Setembro, alterado pela Lei N.º 115/97 de 19 de Setembro e pela Lei N.º 49/2005 de 30 de Agosto), </w:t>
      </w:r>
    </w:p>
    <w:p w:rsidR="00AB0B7B" w:rsidRPr="001024BE" w:rsidRDefault="00AB0B7B" w:rsidP="00AB0B7B">
      <w:pPr>
        <w:pStyle w:val="ListParagraph"/>
        <w:numPr>
          <w:ilvl w:val="0"/>
          <w:numId w:val="42"/>
        </w:numPr>
      </w:pPr>
      <w:proofErr w:type="gramStart"/>
      <w:r w:rsidRPr="001024BE">
        <w:t>candidatos</w:t>
      </w:r>
      <w:proofErr w:type="gramEnd"/>
      <w:r w:rsidRPr="001024BE">
        <w:t xml:space="preserve"> com idade superior a 23 anos que façam prova de capacidade de frequência através da realização de provas específicas realizadas pelas instituições de Ensino Superior (Decreto-Lei N.º 64/2006 de 21 de Março, alterando a modalidade anterior, definida pelo Decreto-Lei n.º 393-B/99 de 2 de Outubro, que permitia o acesso especial a maiores de 25 anos)</w:t>
      </w:r>
    </w:p>
    <w:p w:rsidR="00AB0B7B" w:rsidRDefault="00AB0B7B" w:rsidP="00AB0B7B">
      <w:pPr>
        <w:pStyle w:val="ListParagraph"/>
        <w:numPr>
          <w:ilvl w:val="0"/>
          <w:numId w:val="42"/>
        </w:numPr>
      </w:pPr>
      <w:proofErr w:type="gramStart"/>
      <w:r w:rsidRPr="001024BE">
        <w:t>titulares</w:t>
      </w:r>
      <w:proofErr w:type="gramEnd"/>
      <w:r w:rsidRPr="001024BE">
        <w:t xml:space="preserve"> de qualificações pós-secundárias apropriadas. (Lei N.º 49/2005 de 30 de Agosto) </w:t>
      </w:r>
    </w:p>
    <w:p w:rsidR="00AB0B7B" w:rsidRPr="001024BE" w:rsidRDefault="00AB0B7B" w:rsidP="00AB0B7B">
      <w:r>
        <w:t>Em 2007, como Decreto-Lei n.º40/2007 foi criado um regime especial de acesso para o Curso de Medicina para candidatos já licenciados.</w:t>
      </w:r>
    </w:p>
    <w:p w:rsidR="00AB0B7B" w:rsidRPr="008E72D7" w:rsidRDefault="00AB0B7B" w:rsidP="00AB0B7B">
      <w:r w:rsidRPr="008E72D7">
        <w:t>A admissão ao Ensino Superior está dependente da aprovação num curso de ensino secundário e das provas de ingresso para o curso a que se candidatam, bem como da satisfação de pré-requisitos, caso existam. No período em análise (200</w:t>
      </w:r>
      <w:r>
        <w:t>5</w:t>
      </w:r>
      <w:r w:rsidRPr="008E72D7">
        <w:t>-20</w:t>
      </w:r>
      <w:r>
        <w:t>10</w:t>
      </w:r>
      <w:r w:rsidRPr="008E72D7">
        <w:t xml:space="preserve">) não se verificaram alterações no cálculo da nota de candidatura. Desde 1999, o cálculo é efectuado com base em, pelo menos, 50% da nota do ensino secundário, pelo menos, 35% das provas de ingresso e, no máximo, com um peso de 15% de pré requisitos. </w:t>
      </w:r>
    </w:p>
    <w:p w:rsidR="00AB0B7B" w:rsidRDefault="00AB0B7B" w:rsidP="00AB0B7B">
      <w:r w:rsidRPr="008E72D7">
        <w:t>Todos os candidatos estão dependentes de uma classificação mínima de ingresso fixada pela instituição. A exigência de uma classificação mínima nos últimos anos sofreu algumas alterações, passando de uma situação opcional (Decreto-Lei N.º 28-B/96 de 4 de Abril) para uma obrigatoriedade (Decreto-Lei N.º 296-A/98 de 25 de Setembro), sendo definida na escala de 0 a 200. Com o Decreto-Lei N.º 26/2003 de 7 de Fevereiro, a classificação mínima de ingresso passa a não poder ser inferior a 95 pon</w:t>
      </w:r>
      <w:r>
        <w:t>tos (em vigor a partir de 2005), mantendo-se com o Decreto-Lei n.º 90/2008.</w:t>
      </w:r>
    </w:p>
    <w:p w:rsidR="00AB0B7B" w:rsidRPr="008E72D7" w:rsidRDefault="00AB0B7B" w:rsidP="00AB0B7B"/>
    <w:p w:rsidR="00AB0B7B" w:rsidRPr="008E72D7" w:rsidRDefault="00AB0B7B" w:rsidP="00AB0B7B">
      <w:pPr>
        <w:pStyle w:val="Caption"/>
      </w:pPr>
      <w:r w:rsidRPr="008E72D7">
        <w:t xml:space="preserve">Ilustração </w:t>
      </w:r>
      <w:fldSimple w:instr=" SEQ Ilustração \* ARABIC ">
        <w:r>
          <w:rPr>
            <w:noProof/>
          </w:rPr>
          <w:t>19</w:t>
        </w:r>
      </w:fldSimple>
      <w:r w:rsidRPr="008E72D7">
        <w:t xml:space="preserve"> - </w:t>
      </w:r>
      <w:r>
        <w:t>C</w:t>
      </w:r>
      <w:r w:rsidRPr="008E72D7">
        <w:t>álculo da nota de ingresso e nota mínima de acesso</w:t>
      </w:r>
    </w:p>
    <w:tbl>
      <w:tblPr>
        <w:tblStyle w:val="TableGrid"/>
        <w:tblW w:w="5000" w:type="pct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ook w:val="01E0" w:firstRow="1" w:lastRow="1" w:firstColumn="1" w:lastColumn="1" w:noHBand="0" w:noVBand="0"/>
      </w:tblPr>
      <w:tblGrid>
        <w:gridCol w:w="1531"/>
        <w:gridCol w:w="1620"/>
        <w:gridCol w:w="2681"/>
        <w:gridCol w:w="2888"/>
      </w:tblGrid>
      <w:tr w:rsidR="00AB0B7B" w:rsidRPr="00D5045D" w:rsidTr="00476E24">
        <w:tc>
          <w:tcPr>
            <w:tcW w:w="878" w:type="pct"/>
            <w:shd w:val="clear" w:color="auto" w:fill="EAF1DD" w:themeFill="accent3" w:themeFillTint="33"/>
          </w:tcPr>
          <w:p w:rsidR="00AB0B7B" w:rsidRPr="00D5045D" w:rsidRDefault="00AB0B7B" w:rsidP="00AB0B7B">
            <w:pPr>
              <w:pStyle w:val="TabCab"/>
            </w:pPr>
            <w:r>
              <w:t>Anos</w:t>
            </w:r>
          </w:p>
        </w:tc>
        <w:tc>
          <w:tcPr>
            <w:tcW w:w="929" w:type="pct"/>
            <w:shd w:val="clear" w:color="auto" w:fill="EAF1DD" w:themeFill="accent3" w:themeFillTint="33"/>
          </w:tcPr>
          <w:p w:rsidR="00AB0B7B" w:rsidRPr="00D5045D" w:rsidRDefault="00AB0B7B" w:rsidP="00AB0B7B">
            <w:pPr>
              <w:pStyle w:val="TabCab"/>
            </w:pPr>
            <w:r w:rsidRPr="00D5045D">
              <w:t>Diploma Legal</w:t>
            </w:r>
          </w:p>
        </w:tc>
        <w:tc>
          <w:tcPr>
            <w:tcW w:w="1537" w:type="pct"/>
            <w:shd w:val="clear" w:color="auto" w:fill="EAF1DD" w:themeFill="accent3" w:themeFillTint="33"/>
          </w:tcPr>
          <w:p w:rsidR="00AB0B7B" w:rsidRPr="00D5045D" w:rsidRDefault="00AB0B7B" w:rsidP="00AB0B7B">
            <w:pPr>
              <w:pStyle w:val="TabCab"/>
            </w:pPr>
            <w:r w:rsidRPr="00D5045D">
              <w:t>Classificação Mínima</w:t>
            </w:r>
          </w:p>
        </w:tc>
        <w:tc>
          <w:tcPr>
            <w:tcW w:w="1656" w:type="pct"/>
            <w:shd w:val="clear" w:color="auto" w:fill="EAF1DD" w:themeFill="accent3" w:themeFillTint="33"/>
          </w:tcPr>
          <w:p w:rsidR="00AB0B7B" w:rsidRPr="00D5045D" w:rsidRDefault="00AB0B7B" w:rsidP="00AB0B7B">
            <w:pPr>
              <w:pStyle w:val="TabCab"/>
            </w:pPr>
            <w:r w:rsidRPr="00D5045D">
              <w:t>Nota de Candidatura</w:t>
            </w:r>
          </w:p>
        </w:tc>
      </w:tr>
      <w:tr w:rsidR="00AB0B7B" w:rsidRPr="00D5045D" w:rsidTr="00476E24">
        <w:tc>
          <w:tcPr>
            <w:tcW w:w="878" w:type="pct"/>
          </w:tcPr>
          <w:p w:rsidR="00AB0B7B" w:rsidRPr="00D5045D" w:rsidRDefault="00AB0B7B" w:rsidP="00AB0B7B">
            <w:pPr>
              <w:pStyle w:val="Tab1col"/>
            </w:pPr>
            <w:r>
              <w:t xml:space="preserve">&gt; </w:t>
            </w:r>
            <w:r w:rsidRPr="00D5045D">
              <w:t>2005</w:t>
            </w:r>
          </w:p>
        </w:tc>
        <w:tc>
          <w:tcPr>
            <w:tcW w:w="929" w:type="pct"/>
          </w:tcPr>
          <w:p w:rsidR="00AB0B7B" w:rsidRPr="00D5045D" w:rsidRDefault="00AB0B7B" w:rsidP="00AB0B7B">
            <w:pPr>
              <w:pStyle w:val="Tabcorpo"/>
            </w:pPr>
            <w:r w:rsidRPr="00D5045D">
              <w:t>Decreto-Lei</w:t>
            </w:r>
          </w:p>
          <w:p w:rsidR="00AB0B7B" w:rsidRPr="00D5045D" w:rsidRDefault="00AB0B7B" w:rsidP="00AB0B7B">
            <w:pPr>
              <w:pStyle w:val="Tabcorpo"/>
            </w:pPr>
            <w:r w:rsidRPr="00D5045D">
              <w:t>N.º 26/2003</w:t>
            </w:r>
          </w:p>
          <w:p w:rsidR="00AB0B7B" w:rsidRPr="00D5045D" w:rsidRDefault="00AB0B7B" w:rsidP="00AB0B7B">
            <w:pPr>
              <w:pStyle w:val="Tabcorpo"/>
            </w:pPr>
            <w:r w:rsidRPr="00D5045D">
              <w:t>Decreto-Lei</w:t>
            </w:r>
          </w:p>
          <w:p w:rsidR="00AB0B7B" w:rsidRPr="00D5045D" w:rsidRDefault="00AB0B7B" w:rsidP="00AB0B7B">
            <w:pPr>
              <w:pStyle w:val="Tabcorpo"/>
            </w:pPr>
            <w:r w:rsidRPr="00D5045D">
              <w:t>N.º90/2008</w:t>
            </w:r>
          </w:p>
        </w:tc>
        <w:tc>
          <w:tcPr>
            <w:tcW w:w="1537" w:type="pct"/>
          </w:tcPr>
          <w:p w:rsidR="00AB0B7B" w:rsidRPr="00D5045D" w:rsidRDefault="00AB0B7B" w:rsidP="00AB0B7B">
            <w:pPr>
              <w:pStyle w:val="Tabcorpo"/>
            </w:pPr>
            <w:r>
              <w:t>Entre 0 e 200,</w:t>
            </w:r>
            <w:r w:rsidRPr="00D5045D">
              <w:t xml:space="preserve"> no mínimo 95 pontos.</w:t>
            </w:r>
          </w:p>
        </w:tc>
        <w:tc>
          <w:tcPr>
            <w:tcW w:w="1656" w:type="pct"/>
          </w:tcPr>
          <w:p w:rsidR="00AB0B7B" w:rsidRPr="00D5045D" w:rsidRDefault="00AB0B7B" w:rsidP="00AB0B7B">
            <w:pPr>
              <w:pStyle w:val="Tabcorpo"/>
            </w:pPr>
            <w:r w:rsidRPr="00D5045D">
              <w:t>≥ 50% Classificação do Ensino Secundário</w:t>
            </w:r>
          </w:p>
          <w:p w:rsidR="00AB0B7B" w:rsidRPr="00D5045D" w:rsidRDefault="00AB0B7B" w:rsidP="00AB0B7B">
            <w:pPr>
              <w:pStyle w:val="Tabcorpo"/>
            </w:pPr>
            <w:r w:rsidRPr="00D5045D">
              <w:t>+</w:t>
            </w:r>
          </w:p>
          <w:p w:rsidR="00AB0B7B" w:rsidRPr="00D5045D" w:rsidRDefault="00AB0B7B" w:rsidP="00AB0B7B">
            <w:pPr>
              <w:pStyle w:val="Tabcorpo"/>
            </w:pPr>
            <w:r w:rsidRPr="00D5045D">
              <w:t>≥ 35% Classificação das provas de ingresso</w:t>
            </w:r>
          </w:p>
          <w:p w:rsidR="00AB0B7B" w:rsidRPr="00D5045D" w:rsidRDefault="00AB0B7B" w:rsidP="00AB0B7B">
            <w:pPr>
              <w:pStyle w:val="Tabcorpo"/>
            </w:pPr>
            <w:r w:rsidRPr="00D5045D">
              <w:t>+</w:t>
            </w:r>
          </w:p>
          <w:p w:rsidR="00AB0B7B" w:rsidRPr="00D5045D" w:rsidRDefault="00AB0B7B" w:rsidP="00AB0B7B">
            <w:pPr>
              <w:pStyle w:val="Tabcorpo"/>
            </w:pPr>
            <w:r w:rsidRPr="00D5045D">
              <w:t>≤ 15% Pré-Requisitos</w:t>
            </w:r>
          </w:p>
        </w:tc>
      </w:tr>
    </w:tbl>
    <w:p w:rsidR="00AB0B7B" w:rsidRDefault="00AB0B7B" w:rsidP="00AB0B7B"/>
    <w:p w:rsidR="00AB0B7B" w:rsidRPr="008E72D7" w:rsidRDefault="00AB0B7B" w:rsidP="00AB0B7B">
      <w:r w:rsidRPr="008E72D7">
        <w:t>O processo de acesso ao Ensino Superior Público é centralizado e conduzido pela CNAES</w:t>
      </w:r>
      <w:r>
        <w:t>, pertencente à Direcção geral de Ensino Superior</w:t>
      </w:r>
      <w:r w:rsidRPr="008E72D7">
        <w:t>. Os candidatos escolhem até 6 pares (estabelecimento de ensino/curso), ordenadas por preferência, sendo que em caso de impossibilidade de ingresso numa opção é seleccionada a seguinte.</w:t>
      </w:r>
      <w:r>
        <w:t xml:space="preserve"> O tratamento dos candidatos é sempre efectuado com base nesta escolha.</w:t>
      </w:r>
    </w:p>
    <w:p w:rsidR="00AB0B7B" w:rsidRPr="008E72D7" w:rsidRDefault="00AB0B7B" w:rsidP="00AB0B7B">
      <w:r w:rsidRPr="008E72D7">
        <w:t>No Ensino Superior Público</w:t>
      </w:r>
      <w:r>
        <w:t xml:space="preserve"> Politécnico</w:t>
      </w:r>
      <w:r w:rsidRPr="008E72D7">
        <w:t xml:space="preserve">, os estudantes das áreas de influência, ou seja, da região definida como </w:t>
      </w:r>
      <w:r>
        <w:t>de influência da instituição</w:t>
      </w:r>
      <w:r w:rsidRPr="008E72D7">
        <w:t>, têm reservado para si até 50% das vagas (Preferência Regional). Estão também abrangidas por condições específicas de acesso as instituições de ensino superior das Regiões Autónomas dos Açores e da Madeira.</w:t>
      </w:r>
    </w:p>
    <w:p w:rsidR="00AB0B7B" w:rsidRPr="00AB0B7B" w:rsidRDefault="00AB0B7B" w:rsidP="00AB0B7B">
      <w:r w:rsidRPr="008E72D7">
        <w:t>No referente ao Ensino Superior Não Público o acesso é dirigido e controlado por cada instituição, cumprindo os mesmos requisitos de acesso, exceptuando na centralização da candidatura. Desta forma, os interessados dirigem-se particularmente à instituição dependendo exclusivamente, da aceitação por parte da instituição e do cumprimento dos requisitos gerais de acesso.</w:t>
      </w:r>
    </w:p>
    <w:p w:rsidR="00CF5D45" w:rsidRPr="0067058E" w:rsidRDefault="00CF5D45" w:rsidP="00132035">
      <w:pPr>
        <w:pStyle w:val="Tit2"/>
      </w:pPr>
      <w:bookmarkStart w:id="16" w:name="_Toc290662659"/>
      <w:r w:rsidRPr="0067058E">
        <w:t>Tendências do acesso ao ensino superior</w:t>
      </w:r>
      <w:bookmarkEnd w:id="16"/>
    </w:p>
    <w:p w:rsidR="001C2FD0" w:rsidRPr="00351BBD" w:rsidRDefault="00A45070" w:rsidP="00351BBD">
      <w:r w:rsidRPr="00A45070">
        <w:rPr>
          <w:highlight w:val="yellow"/>
        </w:rPr>
        <w:t xml:space="preserve">Em redacção, dependente </w:t>
      </w:r>
      <w:proofErr w:type="gramStart"/>
      <w:r w:rsidRPr="00A45070">
        <w:rPr>
          <w:highlight w:val="yellow"/>
        </w:rPr>
        <w:t>do(s</w:t>
      </w:r>
      <w:proofErr w:type="gramEnd"/>
      <w:r w:rsidRPr="00A45070">
        <w:rPr>
          <w:highlight w:val="yellow"/>
        </w:rPr>
        <w:t>) indicador(</w:t>
      </w:r>
      <w:proofErr w:type="spellStart"/>
      <w:r w:rsidRPr="00A45070">
        <w:rPr>
          <w:highlight w:val="yellow"/>
        </w:rPr>
        <w:t>es</w:t>
      </w:r>
      <w:proofErr w:type="spellEnd"/>
      <w:r w:rsidRPr="00A45070">
        <w:rPr>
          <w:highlight w:val="yellow"/>
        </w:rPr>
        <w:t>) em falta. Será enviado em breve.</w:t>
      </w:r>
    </w:p>
    <w:p w:rsidR="005A55C1" w:rsidRPr="00351BBD" w:rsidRDefault="005A55C1" w:rsidP="00351BBD">
      <w:pPr>
        <w:rPr>
          <w:highlight w:val="yellow"/>
        </w:rPr>
      </w:pPr>
    </w:p>
    <w:p w:rsidR="003F717C" w:rsidRPr="0067058E" w:rsidRDefault="003F717C" w:rsidP="003F717C">
      <w:pPr>
        <w:numPr>
          <w:ilvl w:val="0"/>
          <w:numId w:val="15"/>
        </w:numPr>
        <w:spacing w:before="120" w:after="120"/>
        <w:rPr>
          <w:rFonts w:ascii="Arial" w:hAnsi="Arial"/>
          <w:color w:val="45556A"/>
        </w:rPr>
        <w:sectPr w:rsidR="003F717C" w:rsidRPr="0067058E" w:rsidSect="000729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028D6" w:rsidRPr="0067058E" w:rsidRDefault="003028D6" w:rsidP="0072333B">
      <w:pPr>
        <w:pStyle w:val="Tit1"/>
      </w:pPr>
      <w:bookmarkStart w:id="17" w:name="_Toc290662660"/>
      <w:r w:rsidRPr="0067058E">
        <w:t>In</w:t>
      </w:r>
      <w:r w:rsidR="006064E7" w:rsidRPr="0067058E">
        <w:t>fra-estruturas institucionais do</w:t>
      </w:r>
      <w:r w:rsidRPr="0067058E">
        <w:t xml:space="preserve"> </w:t>
      </w:r>
      <w:r w:rsidR="006064E7" w:rsidRPr="0067058E">
        <w:t>Ensino S</w:t>
      </w:r>
      <w:r w:rsidR="006E01B7" w:rsidRPr="0067058E">
        <w:t>uperior</w:t>
      </w:r>
      <w:bookmarkEnd w:id="17"/>
    </w:p>
    <w:p w:rsidR="004B3D14" w:rsidRPr="002D2D68" w:rsidRDefault="004B3D14" w:rsidP="002D2D68"/>
    <w:p w:rsidR="00AB0B7B" w:rsidRDefault="00AB0B7B" w:rsidP="00AB0B7B">
      <w:r w:rsidRPr="00BD0350">
        <w:t xml:space="preserve">O Sistema de Ensino Superior em Portugal está organizado </w:t>
      </w:r>
      <w:r>
        <w:t xml:space="preserve">em instituições de natureza pública e privada, e </w:t>
      </w:r>
      <w:r w:rsidRPr="00BD0350">
        <w:t>institucionalmente em Universidades</w:t>
      </w:r>
      <w:r>
        <w:t xml:space="preserve"> (Ensino Universitário) que têm uma </w:t>
      </w:r>
      <w:r w:rsidRPr="00A31AE8">
        <w:rPr>
          <w:i/>
        </w:rPr>
        <w:t>orientação para a investigação e criação do saber, visando assegurar uma sólida preparação científica e cultural. Visa assegurar o desenvolvimento das capacidades de concepção, de inovação e análise crítica</w:t>
      </w:r>
      <w:r w:rsidRPr="005650DA">
        <w:t>,</w:t>
      </w:r>
      <w:r w:rsidRPr="00BD0350">
        <w:t xml:space="preserve"> </w:t>
      </w:r>
      <w:r w:rsidRPr="005650DA">
        <w:t xml:space="preserve">e </w:t>
      </w:r>
      <w:r>
        <w:t xml:space="preserve">em </w:t>
      </w:r>
      <w:r w:rsidRPr="005650DA">
        <w:t xml:space="preserve">Institutos Politécnicos, </w:t>
      </w:r>
      <w:r>
        <w:t xml:space="preserve">vocacionados </w:t>
      </w:r>
      <w:r w:rsidRPr="00A31AE8">
        <w:rPr>
          <w:i/>
        </w:rPr>
        <w:t>para a investigação aplicada e de desenvolvimento, dirigido à compreensão e solução de problemas concretos. Visa assegurar conhecimentos de índole teórico-práticos e sua aplicação com vista ao exercício de actividades profissionais</w:t>
      </w:r>
      <w:r w:rsidRPr="005650DA">
        <w:t>,</w:t>
      </w:r>
      <w:r w:rsidRPr="00BD0350">
        <w:t xml:space="preserve"> (Ensino </w:t>
      </w:r>
      <w:r>
        <w:t>Superior</w:t>
      </w:r>
      <w:r w:rsidRPr="00BD0350">
        <w:t xml:space="preserve"> Politécnico)</w:t>
      </w:r>
      <w:r>
        <w:t>. Cada instituição, Universitária ou Politécnica, Pública ou Privada, pode ser constituída por mais do que uma</w:t>
      </w:r>
      <w:r w:rsidRPr="00BD0350">
        <w:t xml:space="preserve"> </w:t>
      </w:r>
      <w:r w:rsidRPr="00A31AE8">
        <w:rPr>
          <w:i/>
        </w:rPr>
        <w:t>unidade orgânic</w:t>
      </w:r>
      <w:r>
        <w:rPr>
          <w:i/>
        </w:rPr>
        <w:t>a,</w:t>
      </w:r>
      <w:r>
        <w:t xml:space="preserve"> ou seja, por diversas </w:t>
      </w:r>
      <w:r w:rsidRPr="005650DA">
        <w:t>escola</w:t>
      </w:r>
      <w:r>
        <w:t>s</w:t>
      </w:r>
      <w:r w:rsidRPr="005650DA">
        <w:t>, faculdade</w:t>
      </w:r>
      <w:r>
        <w:t>s</w:t>
      </w:r>
      <w:r w:rsidRPr="005650DA">
        <w:t xml:space="preserve"> ou instituto</w:t>
      </w:r>
      <w:r>
        <w:t>s</w:t>
      </w:r>
      <w:r w:rsidRPr="005650DA">
        <w:t xml:space="preserve"> </w:t>
      </w:r>
      <w:r>
        <w:t>da sua</w:t>
      </w:r>
      <w:r w:rsidRPr="005650DA">
        <w:t xml:space="preserve"> pertença</w:t>
      </w:r>
      <w:r>
        <w:t xml:space="preserve">. </w:t>
      </w:r>
    </w:p>
    <w:p w:rsidR="00AB0B7B" w:rsidRDefault="00AB0B7B" w:rsidP="00AB0B7B">
      <w:r w:rsidRPr="00BD0350">
        <w:t xml:space="preserve">As instituições de ensino superior têm autonomia pedagógico-científica para ministrar cursos </w:t>
      </w:r>
      <w:r>
        <w:t>conferentes de</w:t>
      </w:r>
      <w:r w:rsidRPr="00BD0350">
        <w:t xml:space="preserve"> grau</w:t>
      </w:r>
      <w:r>
        <w:t>, distinguindo-se ao nível da atribuição de graus do 3º ciclo, reservados unicamente às instituições universitárias.</w:t>
      </w:r>
      <w:r w:rsidRPr="00BD0350">
        <w:t xml:space="preserve"> </w:t>
      </w:r>
    </w:p>
    <w:p w:rsidR="003028D6" w:rsidRDefault="00516A80" w:rsidP="005650DA">
      <w:pPr>
        <w:pStyle w:val="Tit2"/>
      </w:pPr>
      <w:bookmarkStart w:id="18" w:name="_Toc290662661"/>
      <w:r w:rsidRPr="0067058E">
        <w:t>Evolução do n</w:t>
      </w:r>
      <w:r w:rsidR="003028D6" w:rsidRPr="0067058E">
        <w:t xml:space="preserve">úmero total de </w:t>
      </w:r>
      <w:r w:rsidR="003E5F29" w:rsidRPr="0067058E">
        <w:t>I</w:t>
      </w:r>
      <w:r w:rsidR="003028D6" w:rsidRPr="0067058E">
        <w:t xml:space="preserve">nstituições de </w:t>
      </w:r>
      <w:r w:rsidR="003E5F29" w:rsidRPr="0067058E">
        <w:t>Ensino Superior</w:t>
      </w:r>
      <w:bookmarkEnd w:id="18"/>
    </w:p>
    <w:p w:rsidR="007A0408" w:rsidRPr="007A0408" w:rsidRDefault="007A0408" w:rsidP="007A0408">
      <w:r>
        <w:t xml:space="preserve">Como se pode constatar na figura abaixo, identifica-se uma redução do número total de estabelecimentos de Ensino Superior em Portugal. </w:t>
      </w:r>
    </w:p>
    <w:p w:rsidR="007A0408" w:rsidRDefault="007A0408" w:rsidP="007A0408">
      <w:pPr>
        <w:pStyle w:val="Caption"/>
        <w:keepNext/>
      </w:pPr>
      <w:bookmarkStart w:id="19" w:name="_Toc290662025"/>
      <w:r>
        <w:t xml:space="preserve">Tabela </w:t>
      </w:r>
      <w:fldSimple w:instr=" SEQ Tabela \* ARABIC ">
        <w:r w:rsidR="00DC1B98">
          <w:rPr>
            <w:noProof/>
          </w:rPr>
          <w:t>6</w:t>
        </w:r>
      </w:fldSimple>
      <w:r>
        <w:t xml:space="preserve"> – Evolução do número total de Estabelecimentos de Ensino Superior</w:t>
      </w:r>
      <w:bookmarkEnd w:id="19"/>
    </w:p>
    <w:tbl>
      <w:tblPr>
        <w:tblStyle w:val="Table3Deffects3"/>
        <w:tblW w:w="294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174E3C" w:rsidRPr="00174E3C" w:rsidTr="0017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shd w:val="clear" w:color="auto" w:fill="EAF1DD" w:themeFill="accent3" w:themeFillTint="33"/>
            <w:noWrap/>
            <w:hideMark/>
          </w:tcPr>
          <w:p w:rsidR="00174E3C" w:rsidRPr="00174E3C" w:rsidRDefault="00174E3C" w:rsidP="00174E3C">
            <w:pPr>
              <w:pStyle w:val="TabCab"/>
            </w:pPr>
            <w:r w:rsidRPr="00174E3C">
              <w:t>Ano</w:t>
            </w:r>
          </w:p>
        </w:tc>
        <w:tc>
          <w:tcPr>
            <w:tcW w:w="1559" w:type="dxa"/>
            <w:shd w:val="clear" w:color="auto" w:fill="EAF1DD" w:themeFill="accent3" w:themeFillTint="33"/>
            <w:noWrap/>
            <w:hideMark/>
          </w:tcPr>
          <w:p w:rsidR="00174E3C" w:rsidRPr="00174E3C" w:rsidRDefault="00174E3C" w:rsidP="00174E3C">
            <w:pPr>
              <w:pStyle w:val="TabC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E3C">
              <w:t>Nº</w:t>
            </w:r>
          </w:p>
        </w:tc>
      </w:tr>
      <w:tr w:rsidR="00174E3C" w:rsidRPr="00174E3C" w:rsidTr="0017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1col"/>
            </w:pPr>
            <w:r w:rsidRPr="00174E3C">
              <w:t>2005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4E3C">
              <w:t>168</w:t>
            </w:r>
          </w:p>
        </w:tc>
      </w:tr>
      <w:tr w:rsidR="00174E3C" w:rsidRPr="00174E3C" w:rsidTr="00174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1col"/>
            </w:pPr>
            <w:r w:rsidRPr="00174E3C">
              <w:t>2006</w:t>
            </w:r>
          </w:p>
        </w:tc>
        <w:tc>
          <w:tcPr>
            <w:tcW w:w="1559" w:type="dxa"/>
            <w:noWrap/>
            <w:hideMark/>
          </w:tcPr>
          <w:p w:rsidR="00174E3C" w:rsidRPr="00174E3C" w:rsidRDefault="00174E3C" w:rsidP="00174E3C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E3C">
              <w:t>166</w:t>
            </w:r>
          </w:p>
        </w:tc>
      </w:tr>
      <w:tr w:rsidR="00174E3C" w:rsidRPr="00174E3C" w:rsidTr="0017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1col"/>
            </w:pPr>
            <w:r w:rsidRPr="00174E3C">
              <w:t>2007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4E3C">
              <w:t>162</w:t>
            </w:r>
          </w:p>
        </w:tc>
      </w:tr>
      <w:tr w:rsidR="00174E3C" w:rsidRPr="00174E3C" w:rsidTr="00174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1col"/>
            </w:pPr>
            <w:r w:rsidRPr="00174E3C">
              <w:t>2008</w:t>
            </w:r>
          </w:p>
        </w:tc>
        <w:tc>
          <w:tcPr>
            <w:tcW w:w="1559" w:type="dxa"/>
            <w:noWrap/>
            <w:hideMark/>
          </w:tcPr>
          <w:p w:rsidR="00174E3C" w:rsidRPr="00174E3C" w:rsidRDefault="00174E3C" w:rsidP="00174E3C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4E3C">
              <w:t>148</w:t>
            </w:r>
          </w:p>
        </w:tc>
      </w:tr>
      <w:tr w:rsidR="00174E3C" w:rsidRPr="00174E3C" w:rsidTr="0017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right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1col"/>
            </w:pPr>
            <w:r w:rsidRPr="00174E3C">
              <w:t>2009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4E3C">
              <w:t>146</w:t>
            </w:r>
          </w:p>
        </w:tc>
      </w:tr>
    </w:tbl>
    <w:p w:rsidR="00174E3C" w:rsidRPr="00174E3C" w:rsidRDefault="00174E3C" w:rsidP="00174E3C">
      <w:pPr>
        <w:pStyle w:val="NOTA"/>
      </w:pPr>
      <w:r>
        <w:t xml:space="preserve">Nota: refere-se a número de estabelecimentos de ensino (informação referente ao 2º nível </w:t>
      </w:r>
      <w:r w:rsidR="002E7CD2">
        <w:t xml:space="preserve">de desagregação </w:t>
      </w:r>
      <w:r>
        <w:t>ainda não disponível – unidade orgânica)</w:t>
      </w:r>
    </w:p>
    <w:p w:rsidR="00EE4BF2" w:rsidRDefault="00516A80" w:rsidP="005650DA">
      <w:pPr>
        <w:pStyle w:val="Tit2"/>
      </w:pPr>
      <w:bookmarkStart w:id="20" w:name="_Toc290662662"/>
      <w:r w:rsidRPr="0067058E">
        <w:t xml:space="preserve">Evolução do número de </w:t>
      </w:r>
      <w:r w:rsidR="003E5F29" w:rsidRPr="0067058E">
        <w:t xml:space="preserve">Instituições de Ensino Universitário e </w:t>
      </w:r>
      <w:r w:rsidR="00436142">
        <w:t>Politécnico</w:t>
      </w:r>
      <w:bookmarkEnd w:id="20"/>
    </w:p>
    <w:p w:rsidR="007A0408" w:rsidRPr="007A0408" w:rsidRDefault="007A0408" w:rsidP="007A0408">
      <w:r>
        <w:t>Na sequência da análise anterior, identifica-se uma redução no número de estabelecimentos de ensino superior em ambos os subsistemas de ensino, mais acentuadamente no Ensino Politécnico.</w:t>
      </w:r>
    </w:p>
    <w:p w:rsidR="007A0408" w:rsidRDefault="007A0408" w:rsidP="007A0408">
      <w:pPr>
        <w:pStyle w:val="Caption"/>
        <w:keepNext/>
      </w:pPr>
      <w:bookmarkStart w:id="21" w:name="_Toc290662026"/>
      <w:r>
        <w:t xml:space="preserve">Tabela </w:t>
      </w:r>
      <w:fldSimple w:instr=" SEQ Tabela \* ARABIC ">
        <w:r w:rsidR="00DC1B98">
          <w:rPr>
            <w:noProof/>
          </w:rPr>
          <w:t>7</w:t>
        </w:r>
      </w:fldSimple>
      <w:r>
        <w:t xml:space="preserve"> - </w:t>
      </w:r>
      <w:r w:rsidRPr="007A4448">
        <w:t>Evolução do número total de Estabelecimentos de Ensino Superior</w:t>
      </w:r>
      <w:r>
        <w:t>, segundo o tipo de ensino</w:t>
      </w:r>
      <w:bookmarkEnd w:id="21"/>
    </w:p>
    <w:tbl>
      <w:tblPr>
        <w:tblStyle w:val="Table3Deffects3"/>
        <w:tblW w:w="450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84"/>
        <w:gridCol w:w="1559"/>
        <w:gridCol w:w="1559"/>
      </w:tblGrid>
      <w:tr w:rsidR="00174E3C" w:rsidRPr="00174E3C" w:rsidTr="0017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shd w:val="clear" w:color="auto" w:fill="EAF1DD" w:themeFill="accent3" w:themeFillTint="33"/>
            <w:noWrap/>
            <w:hideMark/>
          </w:tcPr>
          <w:p w:rsidR="00174E3C" w:rsidRPr="00174E3C" w:rsidRDefault="00174E3C" w:rsidP="00174E3C">
            <w:pPr>
              <w:pStyle w:val="TabCab"/>
            </w:pPr>
            <w:r w:rsidRPr="00174E3C">
              <w:t>Ano</w:t>
            </w:r>
          </w:p>
        </w:tc>
        <w:tc>
          <w:tcPr>
            <w:tcW w:w="1559" w:type="dxa"/>
            <w:shd w:val="clear" w:color="auto" w:fill="EAF1DD" w:themeFill="accent3" w:themeFillTint="33"/>
            <w:noWrap/>
            <w:hideMark/>
          </w:tcPr>
          <w:p w:rsidR="00174E3C" w:rsidRPr="00174E3C" w:rsidRDefault="00174E3C" w:rsidP="00174E3C">
            <w:pPr>
              <w:pStyle w:val="TabC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Universitário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74E3C" w:rsidRPr="00174E3C" w:rsidRDefault="00174E3C" w:rsidP="00174E3C">
            <w:pPr>
              <w:pStyle w:val="TabC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Politécnico</w:t>
            </w:r>
          </w:p>
        </w:tc>
      </w:tr>
      <w:tr w:rsidR="00174E3C" w:rsidRPr="00174E3C" w:rsidTr="0017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1col"/>
            </w:pPr>
            <w:r w:rsidRPr="00174E3C">
              <w:t>2005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74E3C" w:rsidRPr="00DB7BB2" w:rsidRDefault="00174E3C" w:rsidP="00174E3C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BB2">
              <w:t>65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174E3C" w:rsidRPr="00DB7BB2" w:rsidRDefault="00174E3C" w:rsidP="00174E3C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BB2">
              <w:t>103</w:t>
            </w:r>
          </w:p>
        </w:tc>
      </w:tr>
      <w:tr w:rsidR="00174E3C" w:rsidRPr="00174E3C" w:rsidTr="00174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1col"/>
            </w:pPr>
            <w:r w:rsidRPr="00174E3C">
              <w:t>2006</w:t>
            </w:r>
          </w:p>
        </w:tc>
        <w:tc>
          <w:tcPr>
            <w:tcW w:w="1559" w:type="dxa"/>
            <w:noWrap/>
            <w:hideMark/>
          </w:tcPr>
          <w:p w:rsidR="00174E3C" w:rsidRPr="00DB7BB2" w:rsidRDefault="00174E3C" w:rsidP="00174E3C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BB2">
              <w:t>66</w:t>
            </w:r>
          </w:p>
        </w:tc>
        <w:tc>
          <w:tcPr>
            <w:tcW w:w="1559" w:type="dxa"/>
          </w:tcPr>
          <w:p w:rsidR="00174E3C" w:rsidRPr="00DB7BB2" w:rsidRDefault="00174E3C" w:rsidP="00174E3C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BB2">
              <w:t>100</w:t>
            </w:r>
          </w:p>
        </w:tc>
      </w:tr>
      <w:tr w:rsidR="00174E3C" w:rsidRPr="00174E3C" w:rsidTr="0017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1col"/>
            </w:pPr>
            <w:r w:rsidRPr="00174E3C">
              <w:t>2007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74E3C" w:rsidRPr="00DB7BB2" w:rsidRDefault="00174E3C" w:rsidP="00174E3C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BB2">
              <w:t>65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174E3C" w:rsidRPr="00DB7BB2" w:rsidRDefault="00174E3C" w:rsidP="00174E3C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BB2">
              <w:t>97</w:t>
            </w:r>
          </w:p>
        </w:tc>
      </w:tr>
      <w:tr w:rsidR="00174E3C" w:rsidRPr="00174E3C" w:rsidTr="00174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1col"/>
            </w:pPr>
            <w:r w:rsidRPr="00174E3C">
              <w:t>2008</w:t>
            </w:r>
          </w:p>
        </w:tc>
        <w:tc>
          <w:tcPr>
            <w:tcW w:w="1559" w:type="dxa"/>
            <w:noWrap/>
            <w:hideMark/>
          </w:tcPr>
          <w:p w:rsidR="00174E3C" w:rsidRPr="00DB7BB2" w:rsidRDefault="00174E3C" w:rsidP="00174E3C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BB2">
              <w:t>59</w:t>
            </w:r>
          </w:p>
        </w:tc>
        <w:tc>
          <w:tcPr>
            <w:tcW w:w="1559" w:type="dxa"/>
          </w:tcPr>
          <w:p w:rsidR="00174E3C" w:rsidRPr="00DB7BB2" w:rsidRDefault="00174E3C" w:rsidP="00174E3C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BB2">
              <w:t>89</w:t>
            </w:r>
          </w:p>
        </w:tc>
      </w:tr>
      <w:tr w:rsidR="00174E3C" w:rsidRPr="00174E3C" w:rsidTr="0017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right w:val="none" w:sz="0" w:space="0" w:color="auto"/>
            </w:tcBorders>
            <w:noWrap/>
            <w:hideMark/>
          </w:tcPr>
          <w:p w:rsidR="00174E3C" w:rsidRPr="00174E3C" w:rsidRDefault="00174E3C" w:rsidP="00174E3C">
            <w:pPr>
              <w:pStyle w:val="Tab1col"/>
            </w:pPr>
            <w:r w:rsidRPr="00174E3C">
              <w:t>2009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174E3C" w:rsidRPr="00DB7BB2" w:rsidRDefault="00174E3C" w:rsidP="00174E3C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BB2">
              <w:t>59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174E3C" w:rsidRDefault="00174E3C" w:rsidP="00174E3C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BB2">
              <w:t>87</w:t>
            </w:r>
          </w:p>
        </w:tc>
      </w:tr>
    </w:tbl>
    <w:p w:rsidR="00174E3C" w:rsidRPr="00174E3C" w:rsidRDefault="00174E3C" w:rsidP="00174E3C">
      <w:pPr>
        <w:pStyle w:val="NOTA"/>
      </w:pPr>
      <w:r>
        <w:t>Nota: refere-se a número de estabelecimentos de ensino (informação referente ao 2º nível</w:t>
      </w:r>
      <w:r w:rsidR="002E7CD2" w:rsidRPr="002E7CD2">
        <w:t xml:space="preserve"> </w:t>
      </w:r>
      <w:r w:rsidR="002E7CD2">
        <w:t>de desagregação</w:t>
      </w:r>
      <w:r>
        <w:t xml:space="preserve"> ainda não disponível – unidade orgânica)</w:t>
      </w:r>
    </w:p>
    <w:p w:rsidR="00516A80" w:rsidRDefault="00516A80" w:rsidP="004F0091">
      <w:pPr>
        <w:pStyle w:val="Tit2"/>
      </w:pPr>
      <w:bookmarkStart w:id="22" w:name="_Toc290662663"/>
      <w:r w:rsidRPr="0067058E">
        <w:t xml:space="preserve">Evolução do número de </w:t>
      </w:r>
      <w:r w:rsidR="008F1076" w:rsidRPr="0067058E">
        <w:t>Instituições de Ensino Público e Privado</w:t>
      </w:r>
      <w:bookmarkEnd w:id="22"/>
    </w:p>
    <w:p w:rsidR="007A0408" w:rsidRPr="007A0408" w:rsidRDefault="007A0408" w:rsidP="007A0408">
      <w:r>
        <w:t>A tendência deste ponto é semelhante aos dois anteriores, verificando-se um decréscimo mais elevado no número de estabelecimentos de ensino superior privado.</w:t>
      </w:r>
    </w:p>
    <w:p w:rsidR="007A0408" w:rsidRDefault="007A0408" w:rsidP="007A0408">
      <w:pPr>
        <w:pStyle w:val="Caption"/>
        <w:keepNext/>
      </w:pPr>
      <w:bookmarkStart w:id="23" w:name="_Toc290662027"/>
      <w:r>
        <w:t xml:space="preserve">Tabela </w:t>
      </w:r>
      <w:fldSimple w:instr=" SEQ Tabela \* ARABIC ">
        <w:r w:rsidR="00DC1B98">
          <w:rPr>
            <w:noProof/>
          </w:rPr>
          <w:t>8</w:t>
        </w:r>
      </w:fldSimple>
      <w:r>
        <w:t xml:space="preserve"> - </w:t>
      </w:r>
      <w:r w:rsidRPr="000D1830">
        <w:t>Evolução do número total de Estabelecimentos de Ensino Superior</w:t>
      </w:r>
      <w:r>
        <w:t>, segundo a natureza de ensino</w:t>
      </w:r>
      <w:bookmarkEnd w:id="23"/>
    </w:p>
    <w:tbl>
      <w:tblPr>
        <w:tblStyle w:val="Table3Deffects3"/>
        <w:tblW w:w="450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84"/>
        <w:gridCol w:w="1559"/>
        <w:gridCol w:w="1559"/>
      </w:tblGrid>
      <w:tr w:rsidR="000D0177" w:rsidRPr="00174E3C" w:rsidTr="002E7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shd w:val="clear" w:color="auto" w:fill="EAF1DD" w:themeFill="accent3" w:themeFillTint="33"/>
            <w:noWrap/>
            <w:hideMark/>
          </w:tcPr>
          <w:p w:rsidR="000D0177" w:rsidRPr="00174E3C" w:rsidRDefault="000D0177" w:rsidP="002E7CD2">
            <w:pPr>
              <w:pStyle w:val="TabCab"/>
            </w:pPr>
            <w:r w:rsidRPr="00174E3C">
              <w:t>Ano</w:t>
            </w:r>
          </w:p>
        </w:tc>
        <w:tc>
          <w:tcPr>
            <w:tcW w:w="1559" w:type="dxa"/>
            <w:shd w:val="clear" w:color="auto" w:fill="EAF1DD" w:themeFill="accent3" w:themeFillTint="33"/>
            <w:noWrap/>
            <w:hideMark/>
          </w:tcPr>
          <w:p w:rsidR="000D0177" w:rsidRPr="00174E3C" w:rsidRDefault="000D0177" w:rsidP="002E7CD2">
            <w:pPr>
              <w:pStyle w:val="TabC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Público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0D0177" w:rsidRPr="00174E3C" w:rsidRDefault="000D0177" w:rsidP="002E7CD2">
            <w:pPr>
              <w:pStyle w:val="TabC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Privado</w:t>
            </w:r>
          </w:p>
        </w:tc>
      </w:tr>
      <w:tr w:rsidR="000D0177" w:rsidRPr="00174E3C" w:rsidTr="002E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D0177" w:rsidRPr="00174E3C" w:rsidRDefault="000D0177" w:rsidP="002E7CD2">
            <w:pPr>
              <w:pStyle w:val="Tab1col"/>
            </w:pPr>
            <w:r w:rsidRPr="00174E3C">
              <w:t>2005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0177" w:rsidRPr="003E7419" w:rsidRDefault="000D0177" w:rsidP="000D0177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419">
              <w:t>53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0D0177" w:rsidRPr="003E7419" w:rsidRDefault="000D0177" w:rsidP="000D0177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419">
              <w:t>115</w:t>
            </w:r>
          </w:p>
        </w:tc>
      </w:tr>
      <w:tr w:rsidR="000D0177" w:rsidRPr="00174E3C" w:rsidTr="002E7C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noWrap/>
            <w:hideMark/>
          </w:tcPr>
          <w:p w:rsidR="000D0177" w:rsidRPr="00174E3C" w:rsidRDefault="000D0177" w:rsidP="002E7CD2">
            <w:pPr>
              <w:pStyle w:val="Tab1col"/>
            </w:pPr>
            <w:r w:rsidRPr="00174E3C">
              <w:t>2006</w:t>
            </w:r>
          </w:p>
        </w:tc>
        <w:tc>
          <w:tcPr>
            <w:tcW w:w="1559" w:type="dxa"/>
            <w:noWrap/>
            <w:hideMark/>
          </w:tcPr>
          <w:p w:rsidR="000D0177" w:rsidRPr="003E7419" w:rsidRDefault="000D0177" w:rsidP="000D0177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419">
              <w:t>53</w:t>
            </w:r>
          </w:p>
        </w:tc>
        <w:tc>
          <w:tcPr>
            <w:tcW w:w="1559" w:type="dxa"/>
          </w:tcPr>
          <w:p w:rsidR="000D0177" w:rsidRPr="003E7419" w:rsidRDefault="000D0177" w:rsidP="000D0177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419">
              <w:t>113</w:t>
            </w:r>
          </w:p>
        </w:tc>
      </w:tr>
      <w:tr w:rsidR="000D0177" w:rsidRPr="00174E3C" w:rsidTr="002E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D0177" w:rsidRPr="00174E3C" w:rsidRDefault="000D0177" w:rsidP="002E7CD2">
            <w:pPr>
              <w:pStyle w:val="Tab1col"/>
            </w:pPr>
            <w:r w:rsidRPr="00174E3C">
              <w:t>2007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0177" w:rsidRPr="003E7419" w:rsidRDefault="000D0177" w:rsidP="000D0177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419">
              <w:t>52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0D0177" w:rsidRPr="003E7419" w:rsidRDefault="000D0177" w:rsidP="000D0177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419">
              <w:t>110</w:t>
            </w:r>
          </w:p>
        </w:tc>
      </w:tr>
      <w:tr w:rsidR="000D0177" w:rsidRPr="00174E3C" w:rsidTr="002E7C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noWrap/>
            <w:hideMark/>
          </w:tcPr>
          <w:p w:rsidR="000D0177" w:rsidRPr="00174E3C" w:rsidRDefault="000D0177" w:rsidP="002E7CD2">
            <w:pPr>
              <w:pStyle w:val="Tab1col"/>
            </w:pPr>
            <w:r w:rsidRPr="00174E3C">
              <w:t>2008</w:t>
            </w:r>
          </w:p>
        </w:tc>
        <w:tc>
          <w:tcPr>
            <w:tcW w:w="1559" w:type="dxa"/>
            <w:noWrap/>
            <w:hideMark/>
          </w:tcPr>
          <w:p w:rsidR="000D0177" w:rsidRPr="003E7419" w:rsidRDefault="000D0177" w:rsidP="000D0177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419">
              <w:t>49</w:t>
            </w:r>
          </w:p>
        </w:tc>
        <w:tc>
          <w:tcPr>
            <w:tcW w:w="1559" w:type="dxa"/>
          </w:tcPr>
          <w:p w:rsidR="000D0177" w:rsidRPr="003E7419" w:rsidRDefault="000D0177" w:rsidP="000D0177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419">
              <w:t>99</w:t>
            </w:r>
          </w:p>
        </w:tc>
      </w:tr>
      <w:tr w:rsidR="000D0177" w:rsidRPr="00174E3C" w:rsidTr="002E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right w:val="none" w:sz="0" w:space="0" w:color="auto"/>
            </w:tcBorders>
            <w:noWrap/>
            <w:hideMark/>
          </w:tcPr>
          <w:p w:rsidR="000D0177" w:rsidRPr="00174E3C" w:rsidRDefault="000D0177" w:rsidP="002E7CD2">
            <w:pPr>
              <w:pStyle w:val="Tab1col"/>
            </w:pPr>
            <w:r w:rsidRPr="00174E3C">
              <w:t>2009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0177" w:rsidRPr="003E7419" w:rsidRDefault="000D0177" w:rsidP="000D0177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419">
              <w:t>46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0D0177" w:rsidRDefault="000D0177" w:rsidP="000D0177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419">
              <w:t>100</w:t>
            </w:r>
          </w:p>
        </w:tc>
      </w:tr>
    </w:tbl>
    <w:p w:rsidR="000D0177" w:rsidRPr="00174E3C" w:rsidRDefault="000D0177" w:rsidP="000D0177">
      <w:pPr>
        <w:pStyle w:val="NOTA"/>
      </w:pPr>
      <w:r>
        <w:t xml:space="preserve">Nota: refere-se a número de estabelecimentos de ensino (informação referente ao 2º nível </w:t>
      </w:r>
      <w:r w:rsidR="002E7CD2">
        <w:t xml:space="preserve">de desagregação </w:t>
      </w:r>
      <w:r>
        <w:t>ainda não disponível – unidade orgânica)</w:t>
      </w:r>
    </w:p>
    <w:p w:rsidR="000D0177" w:rsidRPr="000D0177" w:rsidRDefault="000D0177" w:rsidP="000D0177"/>
    <w:p w:rsidR="003028D6" w:rsidRDefault="00516A80" w:rsidP="004F0091">
      <w:pPr>
        <w:pStyle w:val="Tit2"/>
      </w:pPr>
      <w:bookmarkStart w:id="24" w:name="_Toc290662664"/>
      <w:r w:rsidRPr="0067058E">
        <w:t>Evolução do n</w:t>
      </w:r>
      <w:r w:rsidR="003028D6" w:rsidRPr="0067058E">
        <w:t xml:space="preserve">úmero de </w:t>
      </w:r>
      <w:r w:rsidR="00651616" w:rsidRPr="0067058E">
        <w:t>c</w:t>
      </w:r>
      <w:r w:rsidR="003028D6" w:rsidRPr="0067058E">
        <w:t xml:space="preserve">ursos oferecidos pelas </w:t>
      </w:r>
      <w:r w:rsidR="008F1076" w:rsidRPr="0067058E">
        <w:t>Instituições Universitárias P</w:t>
      </w:r>
      <w:r w:rsidR="00797AD0" w:rsidRPr="0067058E">
        <w:t>ú</w:t>
      </w:r>
      <w:r w:rsidR="008F1076" w:rsidRPr="0067058E">
        <w:t>blicas e Privadas</w:t>
      </w:r>
      <w:bookmarkEnd w:id="24"/>
    </w:p>
    <w:p w:rsidR="007A0408" w:rsidRDefault="007A0408" w:rsidP="007A0408">
      <w:r>
        <w:t xml:space="preserve">De acordo com o número de vagas estabelecido em cada ano pela Direcção Geral de Ensino Superior, registou-se até 2008 uma tendência de decréscimo no número de programas oferecidos, </w:t>
      </w:r>
      <w:proofErr w:type="gramStart"/>
      <w:r>
        <w:t>tendência</w:t>
      </w:r>
      <w:proofErr w:type="gramEnd"/>
      <w:r>
        <w:t xml:space="preserve"> </w:t>
      </w:r>
      <w:proofErr w:type="gramStart"/>
      <w:r>
        <w:t>esta</w:t>
      </w:r>
      <w:proofErr w:type="gramEnd"/>
      <w:r>
        <w:t xml:space="preserve"> contrariada em 2009, reflectindo as alterações nos ciclos de estudo provenientes da implementação do Processo de Bolonha.</w:t>
      </w:r>
    </w:p>
    <w:p w:rsidR="007A0408" w:rsidRPr="007A0408" w:rsidRDefault="007A0408" w:rsidP="007A0408"/>
    <w:p w:rsidR="007A0408" w:rsidRDefault="007A0408" w:rsidP="007A0408">
      <w:pPr>
        <w:pStyle w:val="Caption"/>
        <w:keepNext/>
      </w:pPr>
      <w:bookmarkStart w:id="25" w:name="_Toc290662028"/>
      <w:r>
        <w:t xml:space="preserve">Tabela </w:t>
      </w:r>
      <w:fldSimple w:instr=" SEQ Tabela \* ARABIC ">
        <w:r w:rsidR="00DC1B98">
          <w:rPr>
            <w:noProof/>
          </w:rPr>
          <w:t>9</w:t>
        </w:r>
      </w:fldSimple>
      <w:r>
        <w:t xml:space="preserve"> – Evolução do número de cursos de formação graduada</w:t>
      </w:r>
      <w:bookmarkEnd w:id="25"/>
    </w:p>
    <w:tbl>
      <w:tblPr>
        <w:tblStyle w:val="Table3Deffects3"/>
        <w:tblW w:w="294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0D0177" w:rsidRPr="00174E3C" w:rsidTr="002E7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shd w:val="clear" w:color="auto" w:fill="EAF1DD" w:themeFill="accent3" w:themeFillTint="33"/>
            <w:noWrap/>
            <w:hideMark/>
          </w:tcPr>
          <w:p w:rsidR="000D0177" w:rsidRPr="00174E3C" w:rsidRDefault="000D0177" w:rsidP="002E7CD2">
            <w:pPr>
              <w:pStyle w:val="TabCab"/>
            </w:pPr>
            <w:r w:rsidRPr="00174E3C">
              <w:t>Ano</w:t>
            </w:r>
          </w:p>
        </w:tc>
        <w:tc>
          <w:tcPr>
            <w:tcW w:w="1559" w:type="dxa"/>
            <w:shd w:val="clear" w:color="auto" w:fill="EAF1DD" w:themeFill="accent3" w:themeFillTint="33"/>
            <w:noWrap/>
            <w:hideMark/>
          </w:tcPr>
          <w:p w:rsidR="000D0177" w:rsidRPr="00174E3C" w:rsidRDefault="000D0177" w:rsidP="002E7CD2">
            <w:pPr>
              <w:pStyle w:val="TabCa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E3C">
              <w:t>Nº</w:t>
            </w:r>
          </w:p>
        </w:tc>
      </w:tr>
      <w:tr w:rsidR="000D0177" w:rsidRPr="00174E3C" w:rsidTr="002E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D0177" w:rsidRPr="00174E3C" w:rsidRDefault="000D0177" w:rsidP="002E7CD2">
            <w:pPr>
              <w:pStyle w:val="Tab1col"/>
            </w:pPr>
            <w:r w:rsidRPr="00174E3C">
              <w:t>2005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0177" w:rsidRPr="00784193" w:rsidRDefault="000D0177" w:rsidP="000D0177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4193">
              <w:t>1745</w:t>
            </w:r>
          </w:p>
        </w:tc>
      </w:tr>
      <w:tr w:rsidR="000D0177" w:rsidRPr="00174E3C" w:rsidTr="002E7C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noWrap/>
            <w:hideMark/>
          </w:tcPr>
          <w:p w:rsidR="000D0177" w:rsidRPr="00174E3C" w:rsidRDefault="000D0177" w:rsidP="002E7CD2">
            <w:pPr>
              <w:pStyle w:val="Tab1col"/>
            </w:pPr>
            <w:r w:rsidRPr="00174E3C">
              <w:t>2006</w:t>
            </w:r>
          </w:p>
        </w:tc>
        <w:tc>
          <w:tcPr>
            <w:tcW w:w="1559" w:type="dxa"/>
            <w:noWrap/>
            <w:hideMark/>
          </w:tcPr>
          <w:p w:rsidR="000D0177" w:rsidRPr="00784193" w:rsidRDefault="000D0177" w:rsidP="000D0177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193">
              <w:t>1770</w:t>
            </w:r>
          </w:p>
        </w:tc>
      </w:tr>
      <w:tr w:rsidR="000D0177" w:rsidRPr="00174E3C" w:rsidTr="002E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0D0177" w:rsidRPr="00174E3C" w:rsidRDefault="000D0177" w:rsidP="002E7CD2">
            <w:pPr>
              <w:pStyle w:val="Tab1col"/>
            </w:pPr>
            <w:r w:rsidRPr="00174E3C">
              <w:t>2007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0177" w:rsidRPr="00784193" w:rsidRDefault="000D0177" w:rsidP="000D0177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4193">
              <w:t>1696</w:t>
            </w:r>
          </w:p>
        </w:tc>
      </w:tr>
      <w:tr w:rsidR="000D0177" w:rsidRPr="00174E3C" w:rsidTr="002E7C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  <w:noWrap/>
            <w:hideMark/>
          </w:tcPr>
          <w:p w:rsidR="000D0177" w:rsidRPr="00174E3C" w:rsidRDefault="000D0177" w:rsidP="002E7CD2">
            <w:pPr>
              <w:pStyle w:val="Tab1col"/>
            </w:pPr>
            <w:r w:rsidRPr="00174E3C">
              <w:t>2008</w:t>
            </w:r>
          </w:p>
        </w:tc>
        <w:tc>
          <w:tcPr>
            <w:tcW w:w="1559" w:type="dxa"/>
            <w:noWrap/>
            <w:hideMark/>
          </w:tcPr>
          <w:p w:rsidR="000D0177" w:rsidRPr="00784193" w:rsidRDefault="000D0177" w:rsidP="000D0177">
            <w:pPr>
              <w:pStyle w:val="Tabcorp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4193">
              <w:t>1655</w:t>
            </w:r>
          </w:p>
        </w:tc>
      </w:tr>
      <w:tr w:rsidR="000D0177" w:rsidRPr="00174E3C" w:rsidTr="002E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right w:val="none" w:sz="0" w:space="0" w:color="auto"/>
            </w:tcBorders>
            <w:noWrap/>
            <w:hideMark/>
          </w:tcPr>
          <w:p w:rsidR="000D0177" w:rsidRPr="00174E3C" w:rsidRDefault="000D0177" w:rsidP="002E7CD2">
            <w:pPr>
              <w:pStyle w:val="Tab1col"/>
            </w:pPr>
            <w:r w:rsidRPr="00174E3C">
              <w:t>2009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0D0177" w:rsidRDefault="000D0177" w:rsidP="000D0177">
            <w:pPr>
              <w:pStyle w:val="Tabcorp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4193">
              <w:t>1764</w:t>
            </w:r>
          </w:p>
        </w:tc>
      </w:tr>
    </w:tbl>
    <w:p w:rsidR="000D0177" w:rsidRPr="00174E3C" w:rsidRDefault="000D0177" w:rsidP="000D0177">
      <w:pPr>
        <w:pStyle w:val="NOTA"/>
      </w:pPr>
      <w:r>
        <w:t xml:space="preserve">Nota: informação referente a cursos oferecidos por Instituições Públicas e Privadas, Universitárias e Não Universitárias </w:t>
      </w:r>
      <w:r w:rsidR="002E7CD2">
        <w:t xml:space="preserve">com vagas definidas no respectivo ano lectivo </w:t>
      </w:r>
      <w:r>
        <w:t>(</w:t>
      </w:r>
      <w:r w:rsidRPr="007A0408">
        <w:rPr>
          <w:highlight w:val="yellow"/>
        </w:rPr>
        <w:t>aguardamos informação mais discriminada</w:t>
      </w:r>
      <w:r w:rsidR="007A0408">
        <w:t xml:space="preserve"> e informação sobre os cursos de formação </w:t>
      </w:r>
      <w:proofErr w:type="spellStart"/>
      <w:r w:rsidR="007A0408">
        <w:t>pós.graduada</w:t>
      </w:r>
      <w:proofErr w:type="spellEnd"/>
      <w:r>
        <w:t>)</w:t>
      </w:r>
    </w:p>
    <w:p w:rsidR="000D0177" w:rsidRPr="000D0177" w:rsidRDefault="000D0177" w:rsidP="000D0177"/>
    <w:p w:rsidR="003028D6" w:rsidRDefault="003028D6" w:rsidP="004F0091">
      <w:pPr>
        <w:pStyle w:val="Tit2"/>
      </w:pPr>
      <w:bookmarkStart w:id="26" w:name="_Toc290662665"/>
      <w:r w:rsidRPr="0067058E">
        <w:t xml:space="preserve">Modificações recentes nas normas e práticas de criação e reconhecimento </w:t>
      </w:r>
      <w:r w:rsidR="00651616" w:rsidRPr="0067058E">
        <w:t xml:space="preserve">oficial </w:t>
      </w:r>
      <w:r w:rsidRPr="0067058E">
        <w:t>de instituições de ensino superior</w:t>
      </w:r>
      <w:bookmarkEnd w:id="26"/>
    </w:p>
    <w:p w:rsidR="00AB0B7B" w:rsidRDefault="00AB0B7B" w:rsidP="00AB0B7B">
      <w:r w:rsidRPr="004F0091">
        <w:t>A criação de instituições de Ensino Superior requer a aceitação, reconhecimento e acreditação do Estado do interesse público da instituição</w:t>
      </w:r>
      <w:r>
        <w:t xml:space="preserve"> (</w:t>
      </w:r>
      <w:r w:rsidRPr="00291A51">
        <w:t>Lei n.º 62/</w:t>
      </w:r>
      <w:proofErr w:type="gramStart"/>
      <w:r w:rsidRPr="00291A51">
        <w:t>2007</w:t>
      </w:r>
      <w:r>
        <w:t>)</w:t>
      </w:r>
      <w:r w:rsidRPr="004F0091">
        <w:t xml:space="preserve">. </w:t>
      </w:r>
      <w:r>
        <w:t xml:space="preserve"> </w:t>
      </w:r>
      <w:proofErr w:type="gramEnd"/>
      <w:r>
        <w:t xml:space="preserve">Deste modo a criação de uma instituição pública é realizada por Decreto-Lei e tem de obedecer ao ordenamento nacional da rede de ensino superior e ter em consideração a sua necessidade e sustentabilidade. </w:t>
      </w:r>
    </w:p>
    <w:p w:rsidR="00AB0B7B" w:rsidRDefault="00AB0B7B" w:rsidP="00AB0B7B">
      <w:r>
        <w:t>Os estabelecimentos de ensino superior privados podem ser criados por entidades que revistam a forma jurídica de fundação, associação ou cooperativa constituídas especificamente para esse efeito, bem como por entidades de natureza cultural e social sem fins lucrativos que incluam o ensino superior entre os seus fins. Podem também ser criados por empresas, desde que constituídas especificamente para esse efeito. Estas têm de ser comunicadas e reconhecidas enquanto entidades de utilidade pública pelo ministério da tutela. Estas entidades devem preencher requisitos de idoneidade institucional e de sustentabilidade financeira, oferecendo, obrigatoriamente, garantias patrimoniais ou seguros julgados suficientes.</w:t>
      </w:r>
    </w:p>
    <w:p w:rsidR="00AB0B7B" w:rsidRDefault="00AB0B7B" w:rsidP="00AB0B7B">
      <w:r w:rsidRPr="004F0091">
        <w:t>Para um estabelecimento de ensino superior ministrar cursos conferentes de grau superior, é necessário o cumprimento dos requisitos mínimos de funcionamento</w:t>
      </w:r>
      <w:r>
        <w:t xml:space="preserve"> e</w:t>
      </w:r>
      <w:r w:rsidRPr="004F0091">
        <w:t xml:space="preserve"> a obedecer a critérios Europeus de qualidade (Lei N.º</w:t>
      </w:r>
      <w:r>
        <w:t xml:space="preserve"> 74/2006</w:t>
      </w:r>
      <w:r w:rsidRPr="004F0091">
        <w:t>)</w:t>
      </w:r>
      <w:r>
        <w:t xml:space="preserve">, em Portugal a avaliação e acreditação das instituições e cursos é realizada pela A3ES - </w:t>
      </w:r>
      <w:r w:rsidRPr="009202B9">
        <w:t>Agência de avaliação e acreditação</w:t>
      </w:r>
      <w:r>
        <w:t xml:space="preserve"> do ensino </w:t>
      </w:r>
      <w:r w:rsidRPr="009202B9">
        <w:t>superior (Lei n.º 38/2007).</w:t>
      </w:r>
    </w:p>
    <w:p w:rsidR="00AB0B7B" w:rsidRDefault="00AB0B7B" w:rsidP="00AB0B7B">
      <w:r>
        <w:t>Os critérios e requisitos necessários à abertura de uma instituição de ensino superior são:</w:t>
      </w:r>
    </w:p>
    <w:p w:rsidR="00AB0B7B" w:rsidRPr="005811F6" w:rsidRDefault="00AB0B7B" w:rsidP="00AB0B7B">
      <w:pPr>
        <w:pStyle w:val="ListParagraph"/>
        <w:numPr>
          <w:ilvl w:val="0"/>
          <w:numId w:val="43"/>
        </w:numPr>
      </w:pPr>
      <w:r w:rsidRPr="005811F6">
        <w:t>Dispor de um projecto educativo, científico e cultural;</w:t>
      </w:r>
    </w:p>
    <w:p w:rsidR="00AB0B7B" w:rsidRPr="005811F6" w:rsidRDefault="00AB0B7B" w:rsidP="00AB0B7B">
      <w:pPr>
        <w:pStyle w:val="ListParagraph"/>
        <w:numPr>
          <w:ilvl w:val="0"/>
          <w:numId w:val="43"/>
        </w:numPr>
      </w:pPr>
      <w:r w:rsidRPr="005811F6">
        <w:t>Dispor de instalações e recursos materiais apropriados à natureza do estabelecimento em causa, designadamente espaços lectivos, equipamentos, bibliotecas e laboratórios adequados aos ciclos de estudos que visam ministrar;</w:t>
      </w:r>
    </w:p>
    <w:p w:rsidR="00AB0B7B" w:rsidRPr="005811F6" w:rsidRDefault="00AB0B7B" w:rsidP="00AB0B7B">
      <w:pPr>
        <w:pStyle w:val="ListParagraph"/>
        <w:numPr>
          <w:ilvl w:val="0"/>
          <w:numId w:val="43"/>
        </w:numPr>
      </w:pPr>
      <w:r w:rsidRPr="005811F6">
        <w:t>Dispor de uma oferta de formação compatível com a natureza, universitária ou politécnica, do estabelecimento em causa;</w:t>
      </w:r>
    </w:p>
    <w:p w:rsidR="00AB0B7B" w:rsidRPr="005811F6" w:rsidRDefault="00AB0B7B" w:rsidP="00AB0B7B">
      <w:pPr>
        <w:pStyle w:val="ListParagraph"/>
        <w:numPr>
          <w:ilvl w:val="0"/>
          <w:numId w:val="43"/>
        </w:numPr>
      </w:pPr>
      <w:r w:rsidRPr="005811F6">
        <w:t>Dispor de um corpo docente próprio, adequado em número e em qualificação à natureza do estabelecimento e aos graus que está habilitado a conferir;</w:t>
      </w:r>
    </w:p>
    <w:p w:rsidR="00AB0B7B" w:rsidRPr="005811F6" w:rsidRDefault="00AB0B7B" w:rsidP="00AB0B7B">
      <w:pPr>
        <w:pStyle w:val="ListParagraph"/>
        <w:numPr>
          <w:ilvl w:val="0"/>
          <w:numId w:val="43"/>
        </w:numPr>
      </w:pPr>
      <w:r w:rsidRPr="005811F6">
        <w:t>Assegurar a autonomia científica e pedagógica do estabelecimento, incluindo a existência de direcção científica e pedagógica do estabelecimento, das unidades orgânicas, quando existentes, e dos ciclos de estudos;</w:t>
      </w:r>
    </w:p>
    <w:p w:rsidR="00AB0B7B" w:rsidRPr="005811F6" w:rsidRDefault="00AB0B7B" w:rsidP="00AB0B7B">
      <w:pPr>
        <w:pStyle w:val="ListParagraph"/>
        <w:numPr>
          <w:ilvl w:val="0"/>
          <w:numId w:val="43"/>
        </w:numPr>
      </w:pPr>
      <w:r w:rsidRPr="005811F6">
        <w:t>Assegurar a participação de docentes, investigadores e estudantes no governo do estabelecimento;</w:t>
      </w:r>
    </w:p>
    <w:p w:rsidR="00AB0B7B" w:rsidRPr="005811F6" w:rsidRDefault="00AB0B7B" w:rsidP="00AB0B7B">
      <w:pPr>
        <w:pStyle w:val="ListParagraph"/>
        <w:numPr>
          <w:ilvl w:val="0"/>
          <w:numId w:val="43"/>
        </w:numPr>
      </w:pPr>
      <w:r w:rsidRPr="005811F6">
        <w:t>Ser garantido o elevado nível pedagógico, científico e cultural do estabelecimento;</w:t>
      </w:r>
    </w:p>
    <w:p w:rsidR="00AB0B7B" w:rsidRPr="005811F6" w:rsidRDefault="00AB0B7B" w:rsidP="00AB0B7B">
      <w:pPr>
        <w:pStyle w:val="ListParagraph"/>
        <w:numPr>
          <w:ilvl w:val="0"/>
          <w:numId w:val="43"/>
        </w:numPr>
      </w:pPr>
      <w:r w:rsidRPr="005811F6">
        <w:t>Assegurar serviços de acção social;</w:t>
      </w:r>
    </w:p>
    <w:p w:rsidR="00AB0B7B" w:rsidRDefault="00AB0B7B" w:rsidP="00AB0B7B">
      <w:pPr>
        <w:pStyle w:val="ListParagraph"/>
        <w:numPr>
          <w:ilvl w:val="0"/>
          <w:numId w:val="43"/>
        </w:numPr>
      </w:pPr>
      <w:r w:rsidRPr="005811F6">
        <w:t>Assegurar a prestação de serviços à comunidade.</w:t>
      </w:r>
    </w:p>
    <w:p w:rsidR="00AB0B7B" w:rsidRDefault="00AB0B7B" w:rsidP="00AB0B7B">
      <w:r>
        <w:t>Especificamente, as universidades devem ainda ter como requisitos a autorização para ministrar pelo menos 6 ciclos de estudos de licenciatura, 6 ciclos de estudos de mestrado e um ciclo de estudos de doutoramento. Devem dispor do corpo docente e instalações específicas (Capitulo III, Lei n.º 62/2007). As instituições politécnicas devem integrar, pelo menos, duas escolas de áreas diferentes e ministrar pelo menos quatro ciclos de estudos de licenciatura.</w:t>
      </w:r>
    </w:p>
    <w:p w:rsidR="00AB0B7B" w:rsidRDefault="00AB0B7B" w:rsidP="00AB0B7B">
      <w:r>
        <w:t>A transmissão, a integração e a fusão dos estabelecimentos de ensino superior privados devem ser comunicadas previamente ao ministro da tutela, podendo o respectivo reconhecimento ser revogado com fundamento na alteração dos pressupostos e circunstâncias subjacentes à atribuição do reconhecimento de interesse público.</w:t>
      </w:r>
    </w:p>
    <w:p w:rsidR="00AB0B7B" w:rsidRPr="00AB0B7B" w:rsidRDefault="00AB0B7B" w:rsidP="00AB0B7B">
      <w:r w:rsidRPr="004F0091">
        <w:t>O desenvolvimento e criação de Unidades Orgânicas, pertencentes a uma instituição, parte da decisão dos órgãos dirigentes da mesma, sendo comunicada ao MCTES</w:t>
      </w:r>
      <w:r>
        <w:t xml:space="preserve"> (</w:t>
      </w:r>
      <w:r w:rsidRPr="00AB0B7B">
        <w:t>Ministério da Ciência, Tecnologia e Ensino Superior</w:t>
      </w:r>
      <w:r>
        <w:t>)</w:t>
      </w:r>
      <w:r w:rsidRPr="004F0091">
        <w:t xml:space="preserve"> </w:t>
      </w:r>
      <w:proofErr w:type="gramStart"/>
      <w:r w:rsidRPr="004F0091">
        <w:t>para</w:t>
      </w:r>
      <w:proofErr w:type="gramEnd"/>
      <w:r w:rsidRPr="004F0091">
        <w:t xml:space="preserve"> </w:t>
      </w:r>
      <w:r>
        <w:t xml:space="preserve">a </w:t>
      </w:r>
      <w:r w:rsidRPr="004F0091">
        <w:t>avaliação da proposta.</w:t>
      </w:r>
    </w:p>
    <w:p w:rsidR="00012A0C" w:rsidRDefault="00012A0C" w:rsidP="00132035">
      <w:pPr>
        <w:pStyle w:val="Tit2"/>
      </w:pPr>
      <w:bookmarkStart w:id="27" w:name="_Toc290662666"/>
      <w:r w:rsidRPr="0067058E">
        <w:t xml:space="preserve">Tendências da evolução e modificações na </w:t>
      </w:r>
      <w:r w:rsidR="006C38D7">
        <w:t>plataforma</w:t>
      </w:r>
      <w:r w:rsidR="00930EC4">
        <w:t xml:space="preserve"> instituciona</w:t>
      </w:r>
      <w:r w:rsidR="006C38D7">
        <w:t>l</w:t>
      </w:r>
      <w:r w:rsidRPr="0067058E">
        <w:t xml:space="preserve"> de ensino superior</w:t>
      </w:r>
      <w:bookmarkEnd w:id="27"/>
    </w:p>
    <w:p w:rsidR="007A0408" w:rsidRPr="00351BBD" w:rsidRDefault="007A0408" w:rsidP="007A0408">
      <w:r w:rsidRPr="00A45070">
        <w:rPr>
          <w:highlight w:val="yellow"/>
        </w:rPr>
        <w:t xml:space="preserve">Em redacção, dependente </w:t>
      </w:r>
      <w:proofErr w:type="gramStart"/>
      <w:r w:rsidRPr="00A45070">
        <w:rPr>
          <w:highlight w:val="yellow"/>
        </w:rPr>
        <w:t>do(s</w:t>
      </w:r>
      <w:proofErr w:type="gramEnd"/>
      <w:r w:rsidRPr="00A45070">
        <w:rPr>
          <w:highlight w:val="yellow"/>
        </w:rPr>
        <w:t>) indicador(</w:t>
      </w:r>
      <w:proofErr w:type="spellStart"/>
      <w:r w:rsidRPr="00A45070">
        <w:rPr>
          <w:highlight w:val="yellow"/>
        </w:rPr>
        <w:t>es</w:t>
      </w:r>
      <w:proofErr w:type="spellEnd"/>
      <w:r w:rsidRPr="00A45070">
        <w:rPr>
          <w:highlight w:val="yellow"/>
        </w:rPr>
        <w:t>) em falta. Será enviado em breve.</w:t>
      </w:r>
    </w:p>
    <w:p w:rsidR="0057097C" w:rsidRPr="00A34925" w:rsidRDefault="0057097C" w:rsidP="00AE52A6"/>
    <w:p w:rsidR="009909F3" w:rsidRPr="00A34925" w:rsidRDefault="009909F3" w:rsidP="009909F3">
      <w:pPr>
        <w:numPr>
          <w:ilvl w:val="0"/>
          <w:numId w:val="20"/>
        </w:numPr>
        <w:sectPr w:rsidR="009909F3" w:rsidRPr="00A34925" w:rsidSect="000729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2333B" w:rsidRDefault="0072333B" w:rsidP="0072333B">
      <w:pPr>
        <w:pStyle w:val="Tit1"/>
      </w:pPr>
      <w:bookmarkStart w:id="28" w:name="_Toc290662667"/>
      <w:r>
        <w:t>Pessoal Docente</w:t>
      </w:r>
      <w:bookmarkEnd w:id="28"/>
    </w:p>
    <w:p w:rsidR="0072333B" w:rsidRDefault="006032C8" w:rsidP="006032C8">
      <w:pPr>
        <w:pStyle w:val="Tit2"/>
      </w:pPr>
      <w:bookmarkStart w:id="29" w:name="_Toc290662668"/>
      <w:r>
        <w:t>Número de docentes no ensino superior</w:t>
      </w:r>
      <w:bookmarkEnd w:id="29"/>
    </w:p>
    <w:p w:rsidR="007A0408" w:rsidRPr="007A0408" w:rsidRDefault="007A0408" w:rsidP="007A0408">
      <w:r>
        <w:t>Globalmente</w:t>
      </w:r>
      <w:proofErr w:type="gramStart"/>
      <w:r>
        <w:t>,</w:t>
      </w:r>
      <w:proofErr w:type="gramEnd"/>
      <w:r>
        <w:t xml:space="preserve"> pode identificar-se uma redução no número de docentes em todos os tipos de instituição, quer no que concerne à tipologia de ensino, quer à </w:t>
      </w:r>
      <w:r w:rsidR="00484681">
        <w:t xml:space="preserve">sua </w:t>
      </w:r>
      <w:r>
        <w:t>natureza.</w:t>
      </w:r>
      <w:r w:rsidR="00484681">
        <w:t xml:space="preserve"> Apesar do decréscimo geral, estes valores têm-se mantido relativamente estáveis, com poucas oscilações.</w:t>
      </w:r>
    </w:p>
    <w:p w:rsidR="0067135C" w:rsidRDefault="0067135C" w:rsidP="0067135C">
      <w:pPr>
        <w:pStyle w:val="Caption"/>
        <w:keepNext/>
      </w:pPr>
      <w:bookmarkStart w:id="30" w:name="_Toc290662029"/>
      <w:r>
        <w:t xml:space="preserve">Tabela </w:t>
      </w:r>
      <w:fldSimple w:instr=" SEQ Tabela \* ARABIC ">
        <w:r w:rsidR="00DC1B98">
          <w:rPr>
            <w:noProof/>
          </w:rPr>
          <w:t>10</w:t>
        </w:r>
      </w:fldSimple>
      <w:r>
        <w:t xml:space="preserve"> - </w:t>
      </w:r>
      <w:r w:rsidRPr="004D7DBF">
        <w:t xml:space="preserve">Número de Docentes total segundo </w:t>
      </w:r>
      <w:r w:rsidR="007A0408">
        <w:t xml:space="preserve">o </w:t>
      </w:r>
      <w:r w:rsidRPr="004D7DBF">
        <w:t>tipo de instituição</w:t>
      </w:r>
      <w:bookmarkEnd w:id="30"/>
    </w:p>
    <w:tbl>
      <w:tblPr>
        <w:tblW w:w="5888" w:type="dxa"/>
        <w:tblInd w:w="55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85"/>
        <w:gridCol w:w="1041"/>
        <w:gridCol w:w="1274"/>
        <w:gridCol w:w="1074"/>
        <w:gridCol w:w="754"/>
      </w:tblGrid>
      <w:tr w:rsidR="0072333B" w:rsidRPr="0072333B" w:rsidTr="0072333B">
        <w:trPr>
          <w:trHeight w:val="300"/>
        </w:trPr>
        <w:tc>
          <w:tcPr>
            <w:tcW w:w="960" w:type="dxa"/>
            <w:shd w:val="clear" w:color="auto" w:fill="EAF1DD" w:themeFill="accent3" w:themeFillTint="33"/>
            <w:noWrap/>
            <w:vAlign w:val="center"/>
            <w:hideMark/>
          </w:tcPr>
          <w:p w:rsidR="0072333B" w:rsidRPr="0072333B" w:rsidRDefault="0072333B" w:rsidP="0072333B">
            <w:pPr>
              <w:pStyle w:val="TabCab"/>
            </w:pPr>
            <w:r w:rsidRPr="0072333B">
              <w:t>Ano</w:t>
            </w:r>
          </w:p>
        </w:tc>
        <w:tc>
          <w:tcPr>
            <w:tcW w:w="785" w:type="dxa"/>
            <w:shd w:val="clear" w:color="auto" w:fill="EAF1DD" w:themeFill="accent3" w:themeFillTint="33"/>
            <w:noWrap/>
            <w:vAlign w:val="center"/>
            <w:hideMark/>
          </w:tcPr>
          <w:p w:rsidR="0072333B" w:rsidRPr="0072333B" w:rsidRDefault="0072333B" w:rsidP="0072333B">
            <w:pPr>
              <w:pStyle w:val="TabCab"/>
            </w:pPr>
            <w:r w:rsidRPr="0072333B">
              <w:t>Público</w:t>
            </w:r>
          </w:p>
        </w:tc>
        <w:tc>
          <w:tcPr>
            <w:tcW w:w="1041" w:type="dxa"/>
            <w:shd w:val="clear" w:color="auto" w:fill="EAF1DD" w:themeFill="accent3" w:themeFillTint="33"/>
            <w:noWrap/>
            <w:vAlign w:val="center"/>
            <w:hideMark/>
          </w:tcPr>
          <w:p w:rsidR="0072333B" w:rsidRPr="0072333B" w:rsidRDefault="0072333B" w:rsidP="0072333B">
            <w:pPr>
              <w:pStyle w:val="TabCab"/>
            </w:pPr>
            <w:r w:rsidRPr="0072333B">
              <w:t>Privado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72333B" w:rsidRPr="0072333B" w:rsidRDefault="0072333B" w:rsidP="0072333B">
            <w:pPr>
              <w:pStyle w:val="TabCab"/>
            </w:pPr>
            <w:r>
              <w:t>Universitário</w:t>
            </w:r>
          </w:p>
        </w:tc>
        <w:tc>
          <w:tcPr>
            <w:tcW w:w="1074" w:type="dxa"/>
            <w:shd w:val="clear" w:color="auto" w:fill="EAF1DD" w:themeFill="accent3" w:themeFillTint="33"/>
            <w:vAlign w:val="center"/>
          </w:tcPr>
          <w:p w:rsidR="0072333B" w:rsidRPr="0072333B" w:rsidRDefault="0072333B" w:rsidP="0072333B">
            <w:pPr>
              <w:pStyle w:val="TabCab"/>
            </w:pPr>
            <w:r>
              <w:t>Politécnico</w:t>
            </w:r>
          </w:p>
        </w:tc>
        <w:tc>
          <w:tcPr>
            <w:tcW w:w="754" w:type="dxa"/>
            <w:shd w:val="clear" w:color="auto" w:fill="EAF1DD" w:themeFill="accent3" w:themeFillTint="33"/>
            <w:noWrap/>
            <w:vAlign w:val="center"/>
            <w:hideMark/>
          </w:tcPr>
          <w:p w:rsidR="0072333B" w:rsidRPr="0072333B" w:rsidRDefault="0072333B" w:rsidP="0072333B">
            <w:pPr>
              <w:pStyle w:val="TabCab"/>
            </w:pPr>
            <w:r w:rsidRPr="0072333B">
              <w:t>Total</w:t>
            </w:r>
          </w:p>
        </w:tc>
      </w:tr>
      <w:tr w:rsidR="0072333B" w:rsidRPr="0072333B" w:rsidTr="0072333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1col"/>
            </w:pPr>
            <w:r w:rsidRPr="0072333B">
              <w:t>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corpo"/>
            </w:pPr>
            <w:r w:rsidRPr="0072333B">
              <w:t>26214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corpo"/>
            </w:pPr>
            <w:r w:rsidRPr="0072333B">
              <w:t>11220</w:t>
            </w:r>
          </w:p>
        </w:tc>
        <w:tc>
          <w:tcPr>
            <w:tcW w:w="1274" w:type="dxa"/>
            <w:vAlign w:val="bottom"/>
          </w:tcPr>
          <w:p w:rsidR="0072333B" w:rsidRDefault="0072333B" w:rsidP="0072333B">
            <w:pPr>
              <w:pStyle w:val="Tabcorpo"/>
            </w:pPr>
            <w:r>
              <w:t>22068</w:t>
            </w:r>
          </w:p>
        </w:tc>
        <w:tc>
          <w:tcPr>
            <w:tcW w:w="1074" w:type="dxa"/>
            <w:vAlign w:val="bottom"/>
          </w:tcPr>
          <w:p w:rsidR="0072333B" w:rsidRDefault="0072333B" w:rsidP="0072333B">
            <w:pPr>
              <w:pStyle w:val="Tabcorpo"/>
            </w:pPr>
            <w:r>
              <w:t>15366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2333B" w:rsidRPr="0072333B" w:rsidRDefault="007A0408" w:rsidP="0072333B">
            <w:pPr>
              <w:pStyle w:val="Tabtot"/>
            </w:pPr>
            <w:r>
              <w:t>37</w:t>
            </w:r>
            <w:r w:rsidR="0072333B" w:rsidRPr="0072333B">
              <w:t>434</w:t>
            </w:r>
          </w:p>
        </w:tc>
      </w:tr>
      <w:tr w:rsidR="0072333B" w:rsidRPr="0072333B" w:rsidTr="0072333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1col"/>
            </w:pPr>
            <w:r w:rsidRPr="0072333B">
              <w:t>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corpo"/>
            </w:pPr>
            <w:r w:rsidRPr="0072333B">
              <w:t>25415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corpo"/>
            </w:pPr>
            <w:r w:rsidRPr="0072333B">
              <w:t>10654</w:t>
            </w:r>
          </w:p>
        </w:tc>
        <w:tc>
          <w:tcPr>
            <w:tcW w:w="1274" w:type="dxa"/>
            <w:vAlign w:val="bottom"/>
          </w:tcPr>
          <w:p w:rsidR="0072333B" w:rsidRDefault="0072333B" w:rsidP="0072333B">
            <w:pPr>
              <w:pStyle w:val="Tabcorpo"/>
            </w:pPr>
            <w:r>
              <w:t>21398</w:t>
            </w:r>
          </w:p>
        </w:tc>
        <w:tc>
          <w:tcPr>
            <w:tcW w:w="1074" w:type="dxa"/>
            <w:vAlign w:val="bottom"/>
          </w:tcPr>
          <w:p w:rsidR="0072333B" w:rsidRDefault="0072333B" w:rsidP="0072333B">
            <w:pPr>
              <w:pStyle w:val="Tabcorpo"/>
            </w:pPr>
            <w:r>
              <w:t>14671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tot"/>
            </w:pPr>
            <w:r w:rsidRPr="0072333B">
              <w:t>36069</w:t>
            </w:r>
          </w:p>
        </w:tc>
      </w:tr>
      <w:tr w:rsidR="0072333B" w:rsidRPr="0072333B" w:rsidTr="0072333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1col"/>
            </w:pPr>
            <w:r w:rsidRPr="0072333B">
              <w:t>2007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corpo"/>
            </w:pPr>
            <w:r w:rsidRPr="0072333B">
              <w:t>24831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corpo"/>
            </w:pPr>
            <w:r w:rsidRPr="0072333B">
              <w:t>10347</w:t>
            </w:r>
          </w:p>
        </w:tc>
        <w:tc>
          <w:tcPr>
            <w:tcW w:w="1274" w:type="dxa"/>
            <w:vAlign w:val="bottom"/>
          </w:tcPr>
          <w:p w:rsidR="0072333B" w:rsidRDefault="0072333B" w:rsidP="0072333B">
            <w:pPr>
              <w:pStyle w:val="Tabcorpo"/>
            </w:pPr>
            <w:r>
              <w:t>20938</w:t>
            </w:r>
          </w:p>
        </w:tc>
        <w:tc>
          <w:tcPr>
            <w:tcW w:w="1074" w:type="dxa"/>
            <w:vAlign w:val="bottom"/>
          </w:tcPr>
          <w:p w:rsidR="0072333B" w:rsidRDefault="0072333B" w:rsidP="0072333B">
            <w:pPr>
              <w:pStyle w:val="Tabcorpo"/>
            </w:pPr>
            <w:r>
              <w:t>14240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tot"/>
            </w:pPr>
            <w:r w:rsidRPr="0072333B">
              <w:t>35178</w:t>
            </w:r>
          </w:p>
        </w:tc>
      </w:tr>
      <w:tr w:rsidR="0072333B" w:rsidRPr="0072333B" w:rsidTr="0072333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1col"/>
            </w:pPr>
            <w:r w:rsidRPr="0072333B">
              <w:t>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corpo"/>
            </w:pPr>
            <w:r w:rsidRPr="0072333B">
              <w:t>24728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corpo"/>
            </w:pPr>
            <w:r w:rsidRPr="0072333B">
              <w:t>10652</w:t>
            </w:r>
          </w:p>
        </w:tc>
        <w:tc>
          <w:tcPr>
            <w:tcW w:w="1274" w:type="dxa"/>
            <w:vAlign w:val="bottom"/>
          </w:tcPr>
          <w:p w:rsidR="0072333B" w:rsidRDefault="0072333B" w:rsidP="0072333B">
            <w:pPr>
              <w:pStyle w:val="Tabcorpo"/>
            </w:pPr>
            <w:r>
              <w:t>20985</w:t>
            </w:r>
          </w:p>
        </w:tc>
        <w:tc>
          <w:tcPr>
            <w:tcW w:w="1074" w:type="dxa"/>
            <w:vAlign w:val="bottom"/>
          </w:tcPr>
          <w:p w:rsidR="0072333B" w:rsidRDefault="0072333B" w:rsidP="0072333B">
            <w:pPr>
              <w:pStyle w:val="Tabcorpo"/>
            </w:pPr>
            <w:r>
              <w:t>14395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tot"/>
            </w:pPr>
            <w:r w:rsidRPr="0072333B">
              <w:t>35380</w:t>
            </w:r>
          </w:p>
        </w:tc>
      </w:tr>
      <w:tr w:rsidR="0072333B" w:rsidRPr="0072333B" w:rsidTr="0072333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333B" w:rsidRPr="0072333B" w:rsidRDefault="0072333B" w:rsidP="0072333B">
            <w:pPr>
              <w:pStyle w:val="Tab1col"/>
            </w:pPr>
            <w:r w:rsidRPr="0072333B">
              <w:t>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72333B" w:rsidRPr="0072333B" w:rsidRDefault="007A0408" w:rsidP="0072333B">
            <w:pPr>
              <w:pStyle w:val="Tabcorpo"/>
            </w:pPr>
            <w:r>
              <w:t>25</w:t>
            </w:r>
            <w:r w:rsidR="0072333B" w:rsidRPr="0072333B">
              <w:t>092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2333B" w:rsidRPr="0072333B" w:rsidRDefault="007A0408" w:rsidP="0072333B">
            <w:pPr>
              <w:pStyle w:val="Tabcorpo"/>
            </w:pPr>
            <w:r>
              <w:t>11</w:t>
            </w:r>
            <w:r w:rsidR="0072333B" w:rsidRPr="0072333B">
              <w:t>123</w:t>
            </w:r>
          </w:p>
        </w:tc>
        <w:tc>
          <w:tcPr>
            <w:tcW w:w="1274" w:type="dxa"/>
            <w:vAlign w:val="bottom"/>
          </w:tcPr>
          <w:p w:rsidR="0072333B" w:rsidRDefault="0072333B" w:rsidP="0072333B">
            <w:pPr>
              <w:pStyle w:val="Tabcorpo"/>
            </w:pPr>
            <w:r>
              <w:t>21702</w:t>
            </w:r>
          </w:p>
        </w:tc>
        <w:tc>
          <w:tcPr>
            <w:tcW w:w="1074" w:type="dxa"/>
            <w:vAlign w:val="bottom"/>
          </w:tcPr>
          <w:p w:rsidR="0072333B" w:rsidRDefault="0072333B" w:rsidP="0072333B">
            <w:pPr>
              <w:pStyle w:val="Tabcorpo"/>
            </w:pPr>
            <w:r>
              <w:t>14513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2333B" w:rsidRPr="0072333B" w:rsidRDefault="007A0408" w:rsidP="0072333B">
            <w:pPr>
              <w:pStyle w:val="Tabtot"/>
            </w:pPr>
            <w:r>
              <w:t>36</w:t>
            </w:r>
            <w:r w:rsidR="0072333B" w:rsidRPr="0072333B">
              <w:t>215</w:t>
            </w:r>
          </w:p>
        </w:tc>
      </w:tr>
    </w:tbl>
    <w:p w:rsidR="0072333B" w:rsidRDefault="0072333B" w:rsidP="0072333B"/>
    <w:p w:rsidR="006032C8" w:rsidRDefault="006032C8" w:rsidP="006032C8">
      <w:pPr>
        <w:pStyle w:val="Tit2"/>
      </w:pPr>
      <w:bookmarkStart w:id="31" w:name="_Toc290662669"/>
      <w:r>
        <w:t xml:space="preserve">Docentes no ensino universitário segundo </w:t>
      </w:r>
      <w:r w:rsidR="00484681">
        <w:t xml:space="preserve">o </w:t>
      </w:r>
      <w:r>
        <w:t>grau</w:t>
      </w:r>
      <w:bookmarkEnd w:id="31"/>
    </w:p>
    <w:p w:rsidR="00484681" w:rsidRPr="00484681" w:rsidRDefault="00484681" w:rsidP="00484681">
      <w:pPr>
        <w:rPr>
          <w:u w:val="double"/>
        </w:rPr>
      </w:pPr>
      <w:r>
        <w:t>Os dados disponíveis apenas referentes ao Ensino Universitário Público permitem identificar um aumento no número relativo de docentes doutorados (cerca de 8%), concomitantemente com o decréscimo verificado nas outras categorias (excepto em Outros, que se refere aos pós-Doutorados, entre outros).</w:t>
      </w:r>
    </w:p>
    <w:p w:rsidR="00A66942" w:rsidRDefault="00A66942" w:rsidP="00A66942">
      <w:pPr>
        <w:pStyle w:val="Caption"/>
        <w:keepNext/>
      </w:pPr>
      <w:bookmarkStart w:id="32" w:name="_Toc290662030"/>
      <w:r>
        <w:t xml:space="preserve">Tabela </w:t>
      </w:r>
      <w:fldSimple w:instr=" SEQ Tabela \* ARABIC ">
        <w:r w:rsidR="00DC1B98">
          <w:rPr>
            <w:noProof/>
          </w:rPr>
          <w:t>11</w:t>
        </w:r>
      </w:fldSimple>
      <w:r>
        <w:t xml:space="preserve"> - Distribuição dos docentes segundo Grau</w:t>
      </w:r>
      <w:r w:rsidR="00F049A4">
        <w:t xml:space="preserve"> (Ensino Público)</w:t>
      </w:r>
      <w:bookmarkEnd w:id="32"/>
    </w:p>
    <w:tbl>
      <w:tblPr>
        <w:tblW w:w="4869" w:type="dxa"/>
        <w:tblInd w:w="55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960"/>
        <w:gridCol w:w="960"/>
        <w:gridCol w:w="960"/>
        <w:gridCol w:w="960"/>
      </w:tblGrid>
      <w:tr w:rsidR="00C60779" w:rsidRPr="00C60779" w:rsidTr="00A66942">
        <w:trPr>
          <w:trHeight w:val="300"/>
        </w:trPr>
        <w:tc>
          <w:tcPr>
            <w:tcW w:w="1029" w:type="dxa"/>
            <w:shd w:val="clear" w:color="auto" w:fill="EAF1DD" w:themeFill="accent3" w:themeFillTint="33"/>
            <w:noWrap/>
            <w:vAlign w:val="bottom"/>
            <w:hideMark/>
          </w:tcPr>
          <w:p w:rsidR="00C60779" w:rsidRPr="00C60779" w:rsidRDefault="00C60779" w:rsidP="00C10A76">
            <w:pPr>
              <w:pStyle w:val="TabCab"/>
            </w:pPr>
            <w:r w:rsidRPr="00C60779">
              <w:t>Grau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bottom"/>
            <w:hideMark/>
          </w:tcPr>
          <w:p w:rsidR="00C60779" w:rsidRPr="00C60779" w:rsidRDefault="00C60779" w:rsidP="00C10A76">
            <w:pPr>
              <w:pStyle w:val="TabCab"/>
            </w:pPr>
            <w:r w:rsidRPr="00C60779">
              <w:t>2005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bottom"/>
            <w:hideMark/>
          </w:tcPr>
          <w:p w:rsidR="00C60779" w:rsidRPr="00C60779" w:rsidRDefault="00C60779" w:rsidP="00C10A76">
            <w:pPr>
              <w:pStyle w:val="TabCab"/>
            </w:pPr>
            <w:r w:rsidRPr="00C60779">
              <w:t>2006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bottom"/>
            <w:hideMark/>
          </w:tcPr>
          <w:p w:rsidR="00C60779" w:rsidRPr="00C60779" w:rsidRDefault="00C60779" w:rsidP="00C10A76">
            <w:pPr>
              <w:pStyle w:val="TabCab"/>
            </w:pPr>
            <w:r w:rsidRPr="00C60779">
              <w:t>2007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bottom"/>
            <w:hideMark/>
          </w:tcPr>
          <w:p w:rsidR="00C60779" w:rsidRPr="00C60779" w:rsidRDefault="00C60779" w:rsidP="00C10A76">
            <w:pPr>
              <w:pStyle w:val="TabCab"/>
            </w:pPr>
            <w:r w:rsidRPr="00C60779">
              <w:t>2008</w:t>
            </w:r>
          </w:p>
        </w:tc>
      </w:tr>
      <w:tr w:rsidR="00C60779" w:rsidRPr="00C60779" w:rsidTr="00A66942">
        <w:trPr>
          <w:trHeight w:val="300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1col"/>
            </w:pPr>
            <w:r w:rsidRPr="00C60779">
              <w:t>Doutor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53,6%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56,3%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59,8%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61,8%</w:t>
            </w:r>
          </w:p>
        </w:tc>
      </w:tr>
      <w:tr w:rsidR="00C60779" w:rsidRPr="00C60779" w:rsidTr="00A66942">
        <w:trPr>
          <w:trHeight w:val="300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1col"/>
            </w:pPr>
            <w:r w:rsidRPr="00C60779">
              <w:t>Mestre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17,1%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15,6%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13,7%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12,2%</w:t>
            </w:r>
          </w:p>
        </w:tc>
      </w:tr>
      <w:tr w:rsidR="00C60779" w:rsidRPr="00C60779" w:rsidTr="00A66942">
        <w:trPr>
          <w:trHeight w:val="300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1col"/>
            </w:pPr>
            <w:r w:rsidRPr="00C60779">
              <w:t>Licenciado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22,3%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20,8%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19,3%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18,7%</w:t>
            </w:r>
          </w:p>
        </w:tc>
      </w:tr>
      <w:tr w:rsidR="00C60779" w:rsidRPr="00C60779" w:rsidTr="00A66942">
        <w:trPr>
          <w:trHeight w:val="300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1col"/>
            </w:pPr>
            <w:r w:rsidRPr="00C60779">
              <w:t>Bacharel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0,4%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0,4%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0,3%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0,2%</w:t>
            </w:r>
          </w:p>
        </w:tc>
      </w:tr>
      <w:tr w:rsidR="00C60779" w:rsidRPr="00C60779" w:rsidTr="00A66942">
        <w:trPr>
          <w:trHeight w:val="300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1col"/>
            </w:pPr>
            <w:r w:rsidRPr="00C60779">
              <w:t>Outro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6,6%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6,8%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6,9%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60779" w:rsidRPr="00C60779" w:rsidRDefault="00C60779" w:rsidP="00C10A76">
            <w:pPr>
              <w:pStyle w:val="Tabcorpo"/>
            </w:pPr>
            <w:r w:rsidRPr="00C60779">
              <w:t>7,1%</w:t>
            </w:r>
          </w:p>
        </w:tc>
      </w:tr>
    </w:tbl>
    <w:p w:rsidR="0067135C" w:rsidRDefault="0067135C" w:rsidP="0072333B"/>
    <w:p w:rsidR="00F049A4" w:rsidRDefault="00F049A4" w:rsidP="0072333B"/>
    <w:p w:rsidR="00F049A4" w:rsidRDefault="006032C8" w:rsidP="006032C8">
      <w:pPr>
        <w:pStyle w:val="Tit2"/>
      </w:pPr>
      <w:bookmarkStart w:id="33" w:name="_Toc290662670"/>
      <w:r>
        <w:t>Descrição e avaliação das principais tendências do desenvolvimento do corpo docente</w:t>
      </w:r>
      <w:bookmarkEnd w:id="33"/>
    </w:p>
    <w:p w:rsidR="00484681" w:rsidRDefault="00484681" w:rsidP="00F049A4">
      <w:r>
        <w:t>A dimensão do corpo docente nas instituições de Ensino Superior em Portugal tem diminuído ligeiramente, resultado das políticas de contracção orçamental por parte do Estado, e respectiva diminuição de transferência de verbas do Orçamento de Estado para o funcionamento das Universidades.</w:t>
      </w:r>
    </w:p>
    <w:p w:rsidR="00484681" w:rsidRDefault="00CC0D02" w:rsidP="00F049A4">
      <w:r>
        <w:t>Os mapas de pessoal das universidades e condicionalismo legal de aproximação do número de docentes ETI ao valor padrão</w:t>
      </w:r>
      <w:proofErr w:type="gramStart"/>
      <w:r>
        <w:t>,</w:t>
      </w:r>
      <w:proofErr w:type="gramEnd"/>
      <w:r>
        <w:t xml:space="preserve"> tem colocado algumas dificuldades em ultrapassar a progressão profissional nos docentes, fulcral no caso dos Assistentes, que sem lugar possível previsto no quadro (carreira), são compelidos a deixar a universidade.</w:t>
      </w:r>
    </w:p>
    <w:p w:rsidR="00CC0D02" w:rsidRDefault="00CC0D02" w:rsidP="00F049A4">
      <w:r>
        <w:t>A publicação do novo Estatuto da Carreira de Docente Universitário (</w:t>
      </w:r>
      <w:r w:rsidRPr="00CC0D02">
        <w:t>D</w:t>
      </w:r>
      <w:r>
        <w:t>ecreto-</w:t>
      </w:r>
      <w:r w:rsidRPr="00CC0D02">
        <w:t>L</w:t>
      </w:r>
      <w:r>
        <w:t>ei</w:t>
      </w:r>
      <w:r w:rsidRPr="00CC0D02">
        <w:t xml:space="preserve"> 205/2009 de 31</w:t>
      </w:r>
      <w:r>
        <w:t xml:space="preserve"> de Agosto) veio também provocar algumas alterações na dinâmica de avaliação dos docentes, nomeadamente, obrigando as instituições a introduzir critérios mais objectivos quer na contratação, quer na avaliação dos mesmos. </w:t>
      </w:r>
    </w:p>
    <w:p w:rsidR="00484681" w:rsidRDefault="00CC0D02" w:rsidP="00F049A4">
      <w:r>
        <w:t xml:space="preserve">Existe também uma problemática emergente no quadro das instituições de ensino superior em Portugal no que concerne aos docentes, um grau de mobilidade extremamente reduzido, criando a denominada </w:t>
      </w:r>
      <w:proofErr w:type="spellStart"/>
      <w:r>
        <w:t>endogamia</w:t>
      </w:r>
      <w:proofErr w:type="spellEnd"/>
      <w:r>
        <w:t>, processo pelo qual os docentes formados na universidade absorvem a quase totalidade de lugares disponíveis para a docência. Este é um reflexo cultural também do país, onde nas mais diversas áreas a propensão para a mobilidade no território nacional é reduzida.</w:t>
      </w:r>
    </w:p>
    <w:p w:rsidR="00484681" w:rsidRDefault="00484681" w:rsidP="00F049A4"/>
    <w:p w:rsidR="00484681" w:rsidRDefault="00484681" w:rsidP="00F049A4"/>
    <w:p w:rsidR="00484681" w:rsidRDefault="00484681" w:rsidP="00F049A4"/>
    <w:p w:rsidR="00484681" w:rsidRDefault="00484681" w:rsidP="00F049A4"/>
    <w:p w:rsidR="00484681" w:rsidRDefault="00484681" w:rsidP="00F049A4"/>
    <w:p w:rsidR="00484681" w:rsidRDefault="00484681" w:rsidP="00F049A4"/>
    <w:p w:rsidR="00484681" w:rsidRDefault="00484681" w:rsidP="00F049A4"/>
    <w:p w:rsidR="00484681" w:rsidRDefault="00484681" w:rsidP="00F049A4"/>
    <w:p w:rsidR="00484681" w:rsidRPr="00F049A4" w:rsidRDefault="00484681" w:rsidP="00F049A4">
      <w:pPr>
        <w:sectPr w:rsidR="00484681" w:rsidRPr="00F049A4" w:rsidSect="000729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028D6" w:rsidRDefault="006032C8" w:rsidP="0072333B">
      <w:pPr>
        <w:pStyle w:val="Tit1"/>
      </w:pPr>
      <w:bookmarkStart w:id="34" w:name="_Toc290662671"/>
      <w:r>
        <w:t>Garantia</w:t>
      </w:r>
      <w:r w:rsidR="003028D6" w:rsidRPr="0067058E">
        <w:t xml:space="preserve"> </w:t>
      </w:r>
      <w:r>
        <w:t>d</w:t>
      </w:r>
      <w:r w:rsidR="003028D6" w:rsidRPr="0067058E">
        <w:t xml:space="preserve">a </w:t>
      </w:r>
      <w:r w:rsidR="00835446" w:rsidRPr="0067058E">
        <w:t>q</w:t>
      </w:r>
      <w:r w:rsidR="003028D6" w:rsidRPr="0067058E">
        <w:t xml:space="preserve">ualidade </w:t>
      </w:r>
      <w:r>
        <w:t>n</w:t>
      </w:r>
      <w:r w:rsidR="003028D6" w:rsidRPr="0067058E">
        <w:t xml:space="preserve">o </w:t>
      </w:r>
      <w:r w:rsidR="006D6740" w:rsidRPr="0067058E">
        <w:t>ensino superior</w:t>
      </w:r>
      <w:bookmarkEnd w:id="34"/>
    </w:p>
    <w:p w:rsidR="003028D6" w:rsidRPr="00034AFE" w:rsidRDefault="003028D6" w:rsidP="00F049A4">
      <w:pPr>
        <w:pStyle w:val="Tit2"/>
      </w:pPr>
      <w:bookmarkStart w:id="35" w:name="_Toc290662672"/>
      <w:r w:rsidRPr="00034AFE">
        <w:t>Breve descrição d</w:t>
      </w:r>
      <w:r w:rsidR="006032C8">
        <w:t>a organização do</w:t>
      </w:r>
      <w:r w:rsidRPr="00034AFE">
        <w:t xml:space="preserve"> </w:t>
      </w:r>
      <w:r w:rsidR="00AD0E52" w:rsidRPr="00034AFE">
        <w:t>Sistema Nacional de Garantia de Qualidade do Ensino Superior</w:t>
      </w:r>
      <w:bookmarkEnd w:id="35"/>
    </w:p>
    <w:p w:rsidR="00874720" w:rsidRDefault="00874720" w:rsidP="00874720">
      <w:r w:rsidRPr="0067058E">
        <w:t xml:space="preserve">O sistema de garantia de qualidade do Ensino Superior Português </w:t>
      </w:r>
      <w:r>
        <w:t>sofreu recentemente modificações estruturais</w:t>
      </w:r>
      <w:r w:rsidRPr="0067058E">
        <w:t xml:space="preserve">, </w:t>
      </w:r>
      <w:r w:rsidRPr="00F049A4">
        <w:t>acompanhando</w:t>
      </w:r>
      <w:r w:rsidRPr="0067058E">
        <w:t xml:space="preserve"> as próprias alterações do Sistema de Ensino Superior. Estas alterações estão enquadradas </w:t>
      </w:r>
      <w:r>
        <w:t xml:space="preserve">no </w:t>
      </w:r>
      <w:r w:rsidRPr="0067058E">
        <w:t>Processo de Bolonha e na construção do Espaço Europeu de Ensino Superior</w:t>
      </w:r>
      <w:r>
        <w:t xml:space="preserve"> (</w:t>
      </w:r>
      <w:r w:rsidRPr="00701903">
        <w:t>Despacho 484/2006</w:t>
      </w:r>
      <w:r>
        <w:t>)</w:t>
      </w:r>
      <w:r w:rsidRPr="0067058E">
        <w:t>.</w:t>
      </w:r>
    </w:p>
    <w:p w:rsidR="00874720" w:rsidRDefault="00874720" w:rsidP="00874720">
      <w:r>
        <w:t xml:space="preserve">Estas modificações aplicam a avaliação em </w:t>
      </w:r>
      <w:r w:rsidRPr="00BB1611">
        <w:t xml:space="preserve">três </w:t>
      </w:r>
      <w:r>
        <w:t>níveis:</w:t>
      </w:r>
    </w:p>
    <w:p w:rsidR="00874720" w:rsidRDefault="00874720" w:rsidP="00874720">
      <w:pPr>
        <w:pStyle w:val="ListParagraph"/>
        <w:numPr>
          <w:ilvl w:val="0"/>
          <w:numId w:val="44"/>
        </w:numPr>
      </w:pPr>
      <w:r>
        <w:t>Avaliação</w:t>
      </w:r>
      <w:r w:rsidRPr="00BB1611">
        <w:t xml:space="preserve"> </w:t>
      </w:r>
      <w:r>
        <w:t>g</w:t>
      </w:r>
      <w:r w:rsidRPr="00BB1611">
        <w:t>lobal</w:t>
      </w:r>
      <w:r>
        <w:t xml:space="preserve"> do sistema</w:t>
      </w:r>
      <w:r w:rsidRPr="00BB1611">
        <w:t xml:space="preserve">, levado a cabo pela OCDE; </w:t>
      </w:r>
    </w:p>
    <w:p w:rsidR="00874720" w:rsidRDefault="00874720" w:rsidP="00874720">
      <w:pPr>
        <w:pStyle w:val="ListParagraph"/>
        <w:numPr>
          <w:ilvl w:val="0"/>
          <w:numId w:val="44"/>
        </w:numPr>
      </w:pPr>
      <w:r>
        <w:t>A</w:t>
      </w:r>
      <w:r w:rsidRPr="00BB1611">
        <w:t xml:space="preserve">valiação das práticas de Avaliação e Acreditação, levado a cabo pela ENQA; </w:t>
      </w:r>
    </w:p>
    <w:p w:rsidR="00874720" w:rsidRDefault="00874720" w:rsidP="00874720">
      <w:pPr>
        <w:pStyle w:val="ListParagraph"/>
        <w:numPr>
          <w:ilvl w:val="0"/>
          <w:numId w:val="44"/>
        </w:numPr>
      </w:pPr>
      <w:r w:rsidRPr="00BB1611">
        <w:t xml:space="preserve">Avaliação Institucional que será levada a cabo </w:t>
      </w:r>
      <w:proofErr w:type="gramStart"/>
      <w:r w:rsidRPr="00BB1611">
        <w:t>pela</w:t>
      </w:r>
      <w:proofErr w:type="gramEnd"/>
      <w:r w:rsidRPr="00BB1611">
        <w:t xml:space="preserve"> </w:t>
      </w:r>
      <w:proofErr w:type="gramStart"/>
      <w:r w:rsidRPr="00BB1611">
        <w:t>EUA</w:t>
      </w:r>
      <w:proofErr w:type="gramEnd"/>
      <w:r w:rsidRPr="00BB1611">
        <w:t>, em conjunto com a EURASHE e um conjunto de especialistas dos Estados Unidos da América e do Canadá.</w:t>
      </w:r>
    </w:p>
    <w:p w:rsidR="00874720" w:rsidRDefault="00874720" w:rsidP="00874720">
      <w:r w:rsidRPr="00BB1611">
        <w:t xml:space="preserve">A OCDE </w:t>
      </w:r>
      <w:r>
        <w:t>está</w:t>
      </w:r>
      <w:r w:rsidRPr="00BB1611">
        <w:t xml:space="preserve"> encarregue do processo de avaliação global do sistema de ensino superior, cabendo ao Estado Português fornecer toda a informação necessária para </w:t>
      </w:r>
      <w:r>
        <w:t xml:space="preserve">a avaliação. </w:t>
      </w:r>
    </w:p>
    <w:p w:rsidR="00874720" w:rsidRPr="00BB1611" w:rsidRDefault="00874720" w:rsidP="00874720">
      <w:r w:rsidRPr="00BB1611">
        <w:t xml:space="preserve">No mesmo contexto, a avaliação do Sistema de Avaliação e Acreditação português </w:t>
      </w:r>
      <w:r>
        <w:t xml:space="preserve">está a cargo da </w:t>
      </w:r>
      <w:r w:rsidRPr="00BB1611">
        <w:t>ENQA,</w:t>
      </w:r>
      <w:r>
        <w:t xml:space="preserve"> que trabalha em conjunto com a A3ES, entidade responsável por esta avaliação em Portugal, </w:t>
      </w:r>
      <w:r w:rsidRPr="00BB1611">
        <w:t>assegura</w:t>
      </w:r>
      <w:r>
        <w:t>ndo</w:t>
      </w:r>
      <w:r w:rsidRPr="00BB1611">
        <w:t xml:space="preserve"> que exista em Portugal um sistema de Acreditação e Avaliação que esteja ao nível dos padrões e linhas de orientação do espaço europeu, garantindo assim uma qualidade a esse nível.</w:t>
      </w:r>
      <w:r w:rsidRPr="00983B32">
        <w:t xml:space="preserve"> </w:t>
      </w:r>
      <w:r w:rsidRPr="00BB1611">
        <w:t>A obtenção deste nível de qualidade é fundamental tendo em conta a mobilidade dos alunos e professores no espaço europeu de ensino superior.</w:t>
      </w:r>
    </w:p>
    <w:p w:rsidR="00874720" w:rsidRDefault="00874720" w:rsidP="00874720">
      <w:r>
        <w:t xml:space="preserve">O novo regime de </w:t>
      </w:r>
      <w:r w:rsidRPr="00EA6239">
        <w:t xml:space="preserve">avaliação e acreditação, regulamentado pela Lei n.º 38/2007, </w:t>
      </w:r>
      <w:r>
        <w:t>que regulamenta a actividade da A3ES neste contexto, impôs</w:t>
      </w:r>
      <w:r w:rsidRPr="00EA6239">
        <w:t xml:space="preserve"> </w:t>
      </w:r>
      <w:r>
        <w:t xml:space="preserve">a </w:t>
      </w:r>
      <w:r w:rsidRPr="00EA6239">
        <w:t>avalia</w:t>
      </w:r>
      <w:r>
        <w:t>ção preliminar</w:t>
      </w:r>
      <w:r w:rsidRPr="00EA6239">
        <w:t xml:space="preserve"> </w:t>
      </w:r>
      <w:r>
        <w:t>de todos os</w:t>
      </w:r>
      <w:r w:rsidRPr="00EA6239">
        <w:t xml:space="preserve"> cursos </w:t>
      </w:r>
      <w:r>
        <w:t xml:space="preserve">de ensino superior </w:t>
      </w:r>
      <w:r w:rsidRPr="00EA6239">
        <w:t>em fu</w:t>
      </w:r>
      <w:r>
        <w:t>ncionamento</w:t>
      </w:r>
      <w:r w:rsidRPr="00BB1611">
        <w:t>.</w:t>
      </w:r>
      <w:r>
        <w:t xml:space="preserve"> Em Portugal a acreditação dá-se ao nível dos cursos e não das instituições, estas devem garantir as condições necessárias para o funcionamento dos cursos. Na avaliação e acreditação dos mesmos são contabilizados indicadores institucionais imprescindíveis para a acreditação do curso.</w:t>
      </w:r>
    </w:p>
    <w:p w:rsidR="00B90E05" w:rsidRPr="00AE52A6" w:rsidRDefault="00B90E05" w:rsidP="00AE52A6"/>
    <w:p w:rsidR="003028D6" w:rsidRPr="0067058E" w:rsidRDefault="003028D6" w:rsidP="00132035">
      <w:pPr>
        <w:pStyle w:val="Tit2"/>
      </w:pPr>
      <w:bookmarkStart w:id="36" w:name="_Toc290662673"/>
      <w:r w:rsidRPr="0067058E">
        <w:t>Número de universidades e</w:t>
      </w:r>
      <w:r w:rsidR="006032C8">
        <w:t xml:space="preserve"> instituições de ensino superior</w:t>
      </w:r>
      <w:r w:rsidR="00BB1611">
        <w:t xml:space="preserve"> e cursos de graduação e pós-graduação</w:t>
      </w:r>
      <w:r w:rsidRPr="0067058E">
        <w:t xml:space="preserve"> acreditad</w:t>
      </w:r>
      <w:r w:rsidR="00BB1611">
        <w:t>o</w:t>
      </w:r>
      <w:r w:rsidRPr="0067058E">
        <w:t>s</w:t>
      </w:r>
      <w:bookmarkEnd w:id="36"/>
    </w:p>
    <w:p w:rsidR="00BE1094" w:rsidRDefault="00BE1094" w:rsidP="00BE1094">
      <w:r>
        <w:t>Acompanhando o desenvolvimento que os sistemas de garantia da qualidade do ensino superior têm vindo a registar, em particular no espaço europeu, foi instituída pelo Estado, através do Decreto-Lei n.º 369/2007, de 5 de Novembro, a Agência de Avaliação e Acreditação do Ensino Superior (A3ES), tendo em vista a promoção e a garantia da qualidade do ensino superior.</w:t>
      </w:r>
    </w:p>
    <w:p w:rsidR="00BE1094" w:rsidRDefault="00BE1094" w:rsidP="00BE1094">
      <w:r>
        <w:t>No horizonte dos próximos dois anos – 2010/2011 – o plano estratégico da A3ES, atendendo aos prazos impostos por lei, vai concentrar-se na criação e implementação dos instrumentos que permitem, no imediato, para além da acreditação prévia de novos ciclos de estudos, proceder à acreditação preliminar dos ciclos de estudos em funcionamento.</w:t>
      </w:r>
    </w:p>
    <w:p w:rsidR="00BE1094" w:rsidRDefault="00BE1094" w:rsidP="00BE1094">
      <w:r>
        <w:t>Só então, decorridos estes dois primeiros anos, se estará em condições de pôr em prática, na sua plenitude, o novo sistema.</w:t>
      </w:r>
    </w:p>
    <w:p w:rsidR="00BE1094" w:rsidRDefault="00BE1094" w:rsidP="00BE1094"/>
    <w:p w:rsidR="00BE1094" w:rsidRPr="00BE1094" w:rsidRDefault="00BE1094" w:rsidP="00BE1094">
      <w:pPr>
        <w:rPr>
          <w:i/>
        </w:rPr>
      </w:pPr>
      <w:r w:rsidRPr="00BE1094">
        <w:rPr>
          <w:i/>
        </w:rPr>
        <w:t xml:space="preserve">Pedidos de acreditação prévia de </w:t>
      </w:r>
      <w:proofErr w:type="gramStart"/>
      <w:r w:rsidRPr="00BE1094">
        <w:rPr>
          <w:i/>
        </w:rPr>
        <w:t>novos ciclo</w:t>
      </w:r>
      <w:proofErr w:type="gramEnd"/>
      <w:r w:rsidRPr="00BE1094">
        <w:rPr>
          <w:i/>
        </w:rPr>
        <w:t xml:space="preserve"> de estudos apresentados à A3ES:</w:t>
      </w:r>
    </w:p>
    <w:p w:rsidR="00BE1094" w:rsidRDefault="00BE1094" w:rsidP="00BE1094">
      <w:r>
        <w:t>Até 15 de Dezembro de 2010, a A3ES recebeu mais 431 pedidos de acreditação prévia de novos ciclo</w:t>
      </w:r>
      <w:r w:rsidR="00AA5256">
        <w:t>s de estudo</w:t>
      </w:r>
      <w:r>
        <w:t xml:space="preserve"> (NCE), assim caracterizados</w:t>
      </w:r>
      <w:r w:rsidR="00433953">
        <w:t xml:space="preserve"> (fonte: A3ES)</w:t>
      </w:r>
      <w:r>
        <w:t>:</w:t>
      </w:r>
    </w:p>
    <w:p w:rsidR="00BE1094" w:rsidRDefault="00BE1094" w:rsidP="00BE1094">
      <w:r>
        <w:t>- Pedidos de acreditação prévia de NCE – 431</w:t>
      </w:r>
    </w:p>
    <w:p w:rsidR="00BE1094" w:rsidRDefault="00BE1094" w:rsidP="00BE1094">
      <w:pPr>
        <w:ind w:left="708"/>
      </w:pPr>
      <w:r>
        <w:t>- Pedidos correspondentes a ensino universitário – 268</w:t>
      </w:r>
    </w:p>
    <w:p w:rsidR="00BE1094" w:rsidRDefault="00BE1094" w:rsidP="00BE1094">
      <w:pPr>
        <w:ind w:left="708"/>
      </w:pPr>
      <w:r>
        <w:t>- Pedidos correspondentes a ensino politécnico – 163</w:t>
      </w:r>
    </w:p>
    <w:p w:rsidR="00BE1094" w:rsidRDefault="00BE1094" w:rsidP="00AA5256">
      <w:pPr>
        <w:ind w:left="1416"/>
      </w:pPr>
      <w:r>
        <w:t>- Pedidos correspondentes ao grau de Licenciado – 71</w:t>
      </w:r>
    </w:p>
    <w:p w:rsidR="00BE1094" w:rsidRDefault="00BE1094" w:rsidP="00AA5256">
      <w:pPr>
        <w:ind w:left="1416"/>
      </w:pPr>
      <w:r>
        <w:t>- Pedidos correspondentes ao grau de Mestre – 281</w:t>
      </w:r>
    </w:p>
    <w:p w:rsidR="00BE1094" w:rsidRDefault="00BE1094" w:rsidP="00AA5256">
      <w:pPr>
        <w:ind w:left="1416"/>
      </w:pPr>
      <w:r>
        <w:t>- Pedidos correspondentes ao grau de Doutor – 79</w:t>
      </w:r>
      <w:r w:rsidRPr="00BE1094">
        <w:t xml:space="preserve"> </w:t>
      </w:r>
    </w:p>
    <w:p w:rsidR="004B3D14" w:rsidRPr="00BE1094" w:rsidRDefault="002E7CD2" w:rsidP="00BE1094">
      <w:r w:rsidRPr="00BE1094">
        <w:t xml:space="preserve"> </w:t>
      </w:r>
    </w:p>
    <w:p w:rsidR="003028D6" w:rsidRPr="0067058E" w:rsidRDefault="003028D6" w:rsidP="00132035">
      <w:pPr>
        <w:pStyle w:val="Tit2"/>
      </w:pPr>
      <w:bookmarkStart w:id="37" w:name="_Toc290662674"/>
      <w:r w:rsidRPr="0067058E">
        <w:t xml:space="preserve">Modificações recentes na </w:t>
      </w:r>
      <w:r w:rsidR="00F049A4">
        <w:t>legislação</w:t>
      </w:r>
      <w:r w:rsidRPr="0067058E">
        <w:t>, procedimentos e pr</w:t>
      </w:r>
      <w:r w:rsidR="00E514E2" w:rsidRPr="0067058E">
        <w:t>á</w:t>
      </w:r>
      <w:r w:rsidRPr="0067058E">
        <w:t>ticas de manutenção da qualidade</w:t>
      </w:r>
      <w:bookmarkEnd w:id="37"/>
    </w:p>
    <w:p w:rsidR="009F297D" w:rsidRPr="0008377A" w:rsidRDefault="009F297D" w:rsidP="009F297D">
      <w:r>
        <w:t xml:space="preserve">Em Portugal, desde 1994 e até 2007, a legislação de avaliação da qualidade do ensino superior manteve-se estável. Com o Processo de Bolonha em 2007 foi criado um novo regime de qualidade das instituições de ensino superior. </w:t>
      </w:r>
      <w:r w:rsidRPr="0008377A">
        <w:t xml:space="preserve">Neste sentido, </w:t>
      </w:r>
      <w:r>
        <w:t xml:space="preserve">o governo </w:t>
      </w:r>
      <w:r w:rsidRPr="0008377A">
        <w:t>aprovou um novo regime jurídico de avaliação do</w:t>
      </w:r>
      <w:r>
        <w:t xml:space="preserve"> ensino superior (Lei nº 38/2007</w:t>
      </w:r>
      <w:r w:rsidRPr="0008377A">
        <w:t>), que prevê a criação de um sistema de garantia da qualidade susceptível de reconhecimento internacional</w:t>
      </w:r>
      <w:r>
        <w:t>.</w:t>
      </w:r>
    </w:p>
    <w:p w:rsidR="009F297D" w:rsidRDefault="009F297D" w:rsidP="009F297D">
      <w:r w:rsidRPr="0008377A">
        <w:t>Foi neste contexto e tendo em conta o sistema europeu de garantia da qualidade do ensino superior que o Governo instituiu a Agência de Avaliação e Acreditação para a Garantia da Qualidade do Ensino Superior (A3ES) (Decreto-Lei nº 369/2007). A Agência é uma fundação de direito privado, dotada de personalidade jurídica e reconhecida como de utilidade pública.</w:t>
      </w:r>
    </w:p>
    <w:p w:rsidR="009F297D" w:rsidRDefault="009F297D" w:rsidP="009F297D">
      <w:r>
        <w:t>As principais alterações impostas por este regime estão relacionadas com a padronização da avaliação permitindo que todas as instituições Portuguesas tenham uma avaliação comparável com a das instituições Europeias e que garanta que os estudantes em mobilidade na europa tenham um ensino de qualidade.</w:t>
      </w:r>
    </w:p>
    <w:p w:rsidR="00761940" w:rsidRDefault="00761940" w:rsidP="00132035">
      <w:pPr>
        <w:pStyle w:val="Tit2"/>
      </w:pPr>
      <w:bookmarkStart w:id="38" w:name="_Toc290662675"/>
      <w:r w:rsidRPr="0067058E">
        <w:t>Tendências da evolução do sistema de garantia de qualidade do ensino superior</w:t>
      </w:r>
      <w:bookmarkEnd w:id="38"/>
    </w:p>
    <w:p w:rsidR="00676832" w:rsidRDefault="00AA5256" w:rsidP="00BB1611">
      <w:r>
        <w:t>O</w:t>
      </w:r>
      <w:r w:rsidR="00E564D8" w:rsidRPr="00BB1611">
        <w:t xml:space="preserve"> contexto </w:t>
      </w:r>
      <w:r>
        <w:t>da construção do Espaço Europeu de Ensino Superior</w:t>
      </w:r>
      <w:r w:rsidR="00E60F6E" w:rsidRPr="00BB1611">
        <w:t xml:space="preserve">, </w:t>
      </w:r>
      <w:r w:rsidR="0087557B" w:rsidRPr="00BB1611">
        <w:t xml:space="preserve">trouxe a </w:t>
      </w:r>
      <w:r w:rsidR="00E60F6E" w:rsidRPr="00BB1611">
        <w:t xml:space="preserve">Portugal </w:t>
      </w:r>
      <w:r w:rsidR="0087557B" w:rsidRPr="00BB1611">
        <w:t xml:space="preserve">novos desafios, </w:t>
      </w:r>
      <w:r>
        <w:t>tendo</w:t>
      </w:r>
      <w:r w:rsidR="00C31202" w:rsidRPr="00BB1611">
        <w:t xml:space="preserve"> </w:t>
      </w:r>
      <w:r w:rsidR="00E60F6E" w:rsidRPr="00BB1611">
        <w:t>sofr</w:t>
      </w:r>
      <w:r>
        <w:t>ido</w:t>
      </w:r>
      <w:r w:rsidR="00E60F6E" w:rsidRPr="00BB1611">
        <w:t xml:space="preserve"> </w:t>
      </w:r>
      <w:r w:rsidR="00E564D8" w:rsidRPr="00BB1611">
        <w:t xml:space="preserve">uma reformulação no </w:t>
      </w:r>
      <w:r w:rsidR="00676832" w:rsidRPr="00BB1611">
        <w:t>sistema</w:t>
      </w:r>
      <w:r w:rsidR="00E564D8" w:rsidRPr="00BB1611">
        <w:t xml:space="preserve"> de Avaliação Académica e I</w:t>
      </w:r>
      <w:r w:rsidR="00E60F6E" w:rsidRPr="00BB1611">
        <w:t>nstitucional</w:t>
      </w:r>
      <w:r>
        <w:t xml:space="preserve">, passando de uma avaliação individual dos cursos para uma avaliação global assente em padrões Europeus </w:t>
      </w:r>
      <w:r>
        <w:rPr>
          <w:sz w:val="22"/>
          <w:szCs w:val="22"/>
        </w:rPr>
        <w:t>comuns de qualidade e de códigos de boas práticas de âmbito transnacional</w:t>
      </w:r>
      <w:r w:rsidR="00E60F6E" w:rsidRPr="00BB1611">
        <w:t xml:space="preserve">. </w:t>
      </w:r>
    </w:p>
    <w:p w:rsidR="00AA5256" w:rsidRDefault="00AA5256" w:rsidP="00BB1611">
      <w:r>
        <w:t>A A3ES levou a cabo uma avaliação global de todos os cursos em funcionamento no ensino superior, procurando a afirmação dos cursos com os seus pares Europeus, de forma a garantir a mobilidade e a compatibilidade entre o sistema de créditos ECTS.</w:t>
      </w:r>
    </w:p>
    <w:p w:rsidR="00E60F6E" w:rsidRPr="00BB1611" w:rsidRDefault="00AA5256" w:rsidP="00AA5256">
      <w:r>
        <w:t xml:space="preserve">Os três modelos de </w:t>
      </w:r>
      <w:r w:rsidR="00E564D8" w:rsidRPr="00BB1611">
        <w:t>A</w:t>
      </w:r>
      <w:r w:rsidR="00E60F6E" w:rsidRPr="00BB1611">
        <w:t>valiação</w:t>
      </w:r>
      <w:r w:rsidR="00B73B68" w:rsidRPr="00BB1611">
        <w:t>;</w:t>
      </w:r>
      <w:r w:rsidR="00E60F6E" w:rsidRPr="00BB1611">
        <w:t xml:space="preserve"> global, l</w:t>
      </w:r>
      <w:r w:rsidR="00E564D8" w:rsidRPr="00BB1611">
        <w:t>evado a cabo pela OCDE</w:t>
      </w:r>
      <w:r w:rsidR="00B73B68" w:rsidRPr="00BB1611">
        <w:t>;</w:t>
      </w:r>
      <w:r w:rsidR="00E564D8" w:rsidRPr="00BB1611">
        <w:t xml:space="preserve"> de a</w:t>
      </w:r>
      <w:r w:rsidR="00E60F6E" w:rsidRPr="00BB1611">
        <w:t>valiaç</w:t>
      </w:r>
      <w:r w:rsidR="00E564D8" w:rsidRPr="00BB1611">
        <w:t>ão das práticas de Avaliação e A</w:t>
      </w:r>
      <w:r w:rsidR="00E60F6E" w:rsidRPr="00BB1611">
        <w:t>creditação, levado a cabo</w:t>
      </w:r>
      <w:r w:rsidR="00E564D8" w:rsidRPr="00BB1611">
        <w:t xml:space="preserve"> pela ENQA</w:t>
      </w:r>
      <w:r>
        <w:t xml:space="preserve"> (fiscalizando a actividade da A3ES)</w:t>
      </w:r>
      <w:r w:rsidR="00B73B68" w:rsidRPr="00BB1611">
        <w:t>;</w:t>
      </w:r>
      <w:r w:rsidR="00E564D8" w:rsidRPr="00BB1611">
        <w:t xml:space="preserve"> e finalmente, a Avaliação I</w:t>
      </w:r>
      <w:r w:rsidR="00E60F6E" w:rsidRPr="00BB1611">
        <w:t xml:space="preserve">nstitucional levada a cabo </w:t>
      </w:r>
      <w:proofErr w:type="gramStart"/>
      <w:r w:rsidR="00E60F6E" w:rsidRPr="00BB1611">
        <w:t>pela</w:t>
      </w:r>
      <w:proofErr w:type="gramEnd"/>
      <w:r w:rsidR="00E60F6E" w:rsidRPr="00BB1611">
        <w:t xml:space="preserve"> </w:t>
      </w:r>
      <w:proofErr w:type="gramStart"/>
      <w:r w:rsidR="0039118C" w:rsidRPr="00BB1611">
        <w:t>EUA</w:t>
      </w:r>
      <w:proofErr w:type="gramEnd"/>
      <w:r w:rsidR="00E60F6E" w:rsidRPr="00BB1611">
        <w:t>, em conjunto com a EURASHE e um conjunto de especialistas dos E</w:t>
      </w:r>
      <w:r w:rsidR="00E432FA" w:rsidRPr="00BB1611">
        <w:t xml:space="preserve">stados </w:t>
      </w:r>
      <w:r w:rsidR="00E60F6E" w:rsidRPr="00BB1611">
        <w:t>U</w:t>
      </w:r>
      <w:r w:rsidR="00E432FA" w:rsidRPr="00BB1611">
        <w:t xml:space="preserve">nidos da </w:t>
      </w:r>
      <w:r w:rsidR="00E60F6E" w:rsidRPr="00BB1611">
        <w:t>A</w:t>
      </w:r>
      <w:r w:rsidR="00E432FA" w:rsidRPr="00BB1611">
        <w:t>mérica</w:t>
      </w:r>
      <w:r>
        <w:t xml:space="preserve"> e do Canadá, garantirá a Portugal a legitimação do seu sistema de ensino no contexto europeu e mundial, esperando-se um reforço do País na integração e harmonização de todos os processos de avaliação neste contexto.</w:t>
      </w:r>
    </w:p>
    <w:p w:rsidR="00B942BC" w:rsidRDefault="00B942BC" w:rsidP="003F3689">
      <w:pPr>
        <w:spacing w:before="120" w:after="120"/>
        <w:rPr>
          <w:rFonts w:ascii="Arial" w:hAnsi="Arial" w:cs="Arial"/>
          <w:color w:val="45556A"/>
        </w:rPr>
      </w:pPr>
    </w:p>
    <w:p w:rsidR="00F049A4" w:rsidRDefault="00F049A4" w:rsidP="003F3689">
      <w:pPr>
        <w:spacing w:before="120" w:after="120"/>
        <w:rPr>
          <w:rFonts w:ascii="Arial" w:hAnsi="Arial" w:cs="Arial"/>
          <w:color w:val="45556A"/>
        </w:rPr>
        <w:sectPr w:rsidR="00F049A4" w:rsidSect="000729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049A4" w:rsidRPr="0067058E" w:rsidRDefault="00F049A4" w:rsidP="00F049A4">
      <w:pPr>
        <w:pStyle w:val="Tit1"/>
      </w:pPr>
      <w:bookmarkStart w:id="39" w:name="_Ref135970382"/>
      <w:bookmarkStart w:id="40" w:name="_Ref135970399"/>
      <w:bookmarkStart w:id="41" w:name="_Toc290662676"/>
      <w:r>
        <w:t>Resultados do</w:t>
      </w:r>
      <w:r w:rsidRPr="0067058E">
        <w:t xml:space="preserve"> </w:t>
      </w:r>
      <w:r>
        <w:t>Ensino</w:t>
      </w:r>
      <w:r w:rsidRPr="0067058E">
        <w:t xml:space="preserve"> Superior</w:t>
      </w:r>
      <w:bookmarkEnd w:id="39"/>
      <w:bookmarkEnd w:id="40"/>
      <w:bookmarkEnd w:id="41"/>
    </w:p>
    <w:p w:rsidR="00D63093" w:rsidRDefault="00D63093" w:rsidP="00F049A4">
      <w:pPr>
        <w:pStyle w:val="Tit2"/>
      </w:pPr>
      <w:bookmarkStart w:id="42" w:name="_Toc290662677"/>
      <w:r>
        <w:t>População adulta com formação superior</w:t>
      </w:r>
      <w:bookmarkEnd w:id="42"/>
    </w:p>
    <w:p w:rsidR="00DC1B98" w:rsidRPr="00DC1B98" w:rsidRDefault="00DC1B98" w:rsidP="00DC1B98">
      <w:r>
        <w:t>Constata-se que no período em análise se verifica uma evolução no numero de pessoas com formação superior, quer englobando a faixa dos 15 aos 64 anos, quer considerando todos os maiores que 15 anos. Apesar deste crescimento, Portugal mantém-se bastante abaixo da média da OCDE, que ronda aproximadamente os 37%.</w:t>
      </w:r>
    </w:p>
    <w:p w:rsidR="00DC1B98" w:rsidRDefault="00DC1B98" w:rsidP="00DC1B98">
      <w:pPr>
        <w:pStyle w:val="Caption"/>
        <w:keepNext/>
      </w:pPr>
      <w:bookmarkStart w:id="43" w:name="_Toc290662031"/>
      <w:r>
        <w:t xml:space="preserve">Tabela </w:t>
      </w:r>
      <w:fldSimple w:instr=" SEQ Tabela \* ARABIC ">
        <w:r>
          <w:rPr>
            <w:noProof/>
          </w:rPr>
          <w:t>12</w:t>
        </w:r>
      </w:fldSimple>
      <w:r>
        <w:t xml:space="preserve"> - % da população adulta (mais de 15 anos) com formação superior</w:t>
      </w:r>
      <w:bookmarkEnd w:id="43"/>
    </w:p>
    <w:tbl>
      <w:tblPr>
        <w:tblW w:w="3134" w:type="dxa"/>
        <w:tblInd w:w="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14"/>
      </w:tblGrid>
      <w:tr w:rsidR="00476E24" w:rsidRPr="00476E24" w:rsidTr="00DC1B98">
        <w:trPr>
          <w:trHeight w:val="300"/>
        </w:trPr>
        <w:tc>
          <w:tcPr>
            <w:tcW w:w="960" w:type="dxa"/>
            <w:shd w:val="clear" w:color="auto" w:fill="EAF1DD" w:themeFill="accent3" w:themeFillTint="33"/>
            <w:noWrap/>
            <w:vAlign w:val="center"/>
            <w:hideMark/>
          </w:tcPr>
          <w:p w:rsidR="00476E24" w:rsidRPr="00476E24" w:rsidRDefault="00476E24" w:rsidP="00476E24">
            <w:pPr>
              <w:pStyle w:val="TabCab"/>
            </w:pPr>
            <w:r>
              <w:t>Ano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center"/>
            <w:hideMark/>
          </w:tcPr>
          <w:p w:rsidR="00476E24" w:rsidRPr="00476E24" w:rsidRDefault="00476E24" w:rsidP="00476E24">
            <w:pPr>
              <w:pStyle w:val="TabCab"/>
            </w:pPr>
            <w:r w:rsidRPr="00476E24">
              <w:t xml:space="preserve">&gt; 15 </w:t>
            </w:r>
            <w:proofErr w:type="gramStart"/>
            <w:r w:rsidRPr="00476E24">
              <w:t>anos</w:t>
            </w:r>
            <w:proofErr w:type="gramEnd"/>
          </w:p>
        </w:tc>
        <w:tc>
          <w:tcPr>
            <w:tcW w:w="1214" w:type="dxa"/>
            <w:shd w:val="clear" w:color="auto" w:fill="EAF1DD" w:themeFill="accent3" w:themeFillTint="33"/>
            <w:noWrap/>
            <w:vAlign w:val="center"/>
            <w:hideMark/>
          </w:tcPr>
          <w:p w:rsidR="00476E24" w:rsidRPr="00476E24" w:rsidRDefault="00476E24" w:rsidP="00476E24">
            <w:pPr>
              <w:pStyle w:val="TabCab"/>
            </w:pPr>
            <w:r w:rsidRPr="00476E24">
              <w:t xml:space="preserve">15-64 </w:t>
            </w:r>
            <w:proofErr w:type="gramStart"/>
            <w:r w:rsidRPr="00476E24">
              <w:t>anos</w:t>
            </w:r>
            <w:proofErr w:type="gramEnd"/>
          </w:p>
        </w:tc>
      </w:tr>
      <w:tr w:rsidR="00476E24" w:rsidRPr="00476E24" w:rsidTr="00DC1B98">
        <w:trPr>
          <w:trHeight w:val="300"/>
        </w:trPr>
        <w:tc>
          <w:tcPr>
            <w:tcW w:w="960" w:type="dxa"/>
            <w:shd w:val="clear" w:color="000000" w:fill="FFFFFF"/>
            <w:hideMark/>
          </w:tcPr>
          <w:p w:rsidR="00476E24" w:rsidRPr="00476E24" w:rsidRDefault="00476E24" w:rsidP="00476E24">
            <w:pPr>
              <w:pStyle w:val="Tab1col"/>
            </w:pPr>
            <w:r w:rsidRPr="00476E24"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9,5%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11,1%</w:t>
            </w:r>
          </w:p>
        </w:tc>
      </w:tr>
      <w:tr w:rsidR="00476E24" w:rsidRPr="00476E24" w:rsidTr="00DC1B98">
        <w:trPr>
          <w:trHeight w:val="300"/>
        </w:trPr>
        <w:tc>
          <w:tcPr>
            <w:tcW w:w="960" w:type="dxa"/>
            <w:shd w:val="clear" w:color="000000" w:fill="FFFFFF"/>
            <w:hideMark/>
          </w:tcPr>
          <w:p w:rsidR="00476E24" w:rsidRPr="00476E24" w:rsidRDefault="00476E24" w:rsidP="00476E24">
            <w:pPr>
              <w:pStyle w:val="Tab1col"/>
            </w:pPr>
            <w:r w:rsidRPr="00476E24"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10,1%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11,7%</w:t>
            </w:r>
          </w:p>
        </w:tc>
      </w:tr>
      <w:tr w:rsidR="00476E24" w:rsidRPr="00476E24" w:rsidTr="00DC1B98">
        <w:trPr>
          <w:trHeight w:val="300"/>
        </w:trPr>
        <w:tc>
          <w:tcPr>
            <w:tcW w:w="960" w:type="dxa"/>
            <w:shd w:val="clear" w:color="000000" w:fill="FFFFFF"/>
            <w:hideMark/>
          </w:tcPr>
          <w:p w:rsidR="00476E24" w:rsidRPr="00476E24" w:rsidRDefault="00476E24" w:rsidP="00476E24">
            <w:pPr>
              <w:pStyle w:val="Tab1col"/>
            </w:pPr>
            <w:r w:rsidRPr="00476E24"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10,3%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12,0%</w:t>
            </w:r>
          </w:p>
        </w:tc>
      </w:tr>
      <w:tr w:rsidR="00476E24" w:rsidRPr="00476E24" w:rsidTr="00DC1B98">
        <w:trPr>
          <w:trHeight w:val="300"/>
        </w:trPr>
        <w:tc>
          <w:tcPr>
            <w:tcW w:w="960" w:type="dxa"/>
            <w:shd w:val="clear" w:color="000000" w:fill="FFFFFF"/>
            <w:hideMark/>
          </w:tcPr>
          <w:p w:rsidR="00476E24" w:rsidRPr="00476E24" w:rsidRDefault="00476E24" w:rsidP="00476E24">
            <w:pPr>
              <w:pStyle w:val="Tab1col"/>
            </w:pPr>
            <w:r w:rsidRPr="00476E24"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10,8%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12,7%</w:t>
            </w:r>
          </w:p>
        </w:tc>
      </w:tr>
      <w:tr w:rsidR="00476E24" w:rsidRPr="00476E24" w:rsidTr="00DC1B98">
        <w:trPr>
          <w:trHeight w:val="300"/>
        </w:trPr>
        <w:tc>
          <w:tcPr>
            <w:tcW w:w="960" w:type="dxa"/>
            <w:shd w:val="clear" w:color="000000" w:fill="FFFFFF"/>
            <w:hideMark/>
          </w:tcPr>
          <w:p w:rsidR="00476E24" w:rsidRPr="00476E24" w:rsidRDefault="00476E24" w:rsidP="00476E24">
            <w:pPr>
              <w:pStyle w:val="Tab1col"/>
            </w:pPr>
            <w:r w:rsidRPr="00476E24"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11,2%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13,1%</w:t>
            </w:r>
          </w:p>
        </w:tc>
      </w:tr>
      <w:tr w:rsidR="00476E24" w:rsidRPr="00476E24" w:rsidTr="00DC1B98">
        <w:trPr>
          <w:trHeight w:val="300"/>
        </w:trPr>
        <w:tc>
          <w:tcPr>
            <w:tcW w:w="960" w:type="dxa"/>
            <w:shd w:val="clear" w:color="000000" w:fill="FFFFFF"/>
            <w:hideMark/>
          </w:tcPr>
          <w:p w:rsidR="00476E24" w:rsidRPr="00476E24" w:rsidRDefault="00476E24" w:rsidP="00476E24">
            <w:pPr>
              <w:pStyle w:val="Tab1col"/>
            </w:pPr>
            <w:r w:rsidRPr="00476E24"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11,8%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476E24" w:rsidRPr="00476E24" w:rsidRDefault="00476E24" w:rsidP="00476E24">
            <w:pPr>
              <w:pStyle w:val="Tabcorpo"/>
            </w:pPr>
            <w:r w:rsidRPr="00476E24">
              <w:t>13,8%</w:t>
            </w:r>
          </w:p>
        </w:tc>
      </w:tr>
    </w:tbl>
    <w:p w:rsidR="00476E24" w:rsidRPr="00476E24" w:rsidRDefault="00476E24" w:rsidP="00476E24"/>
    <w:p w:rsidR="00476E24" w:rsidRPr="00476E24" w:rsidRDefault="00476E24" w:rsidP="00476E24"/>
    <w:p w:rsidR="00F049A4" w:rsidRPr="0067058E" w:rsidRDefault="00F049A4" w:rsidP="00F049A4">
      <w:pPr>
        <w:pStyle w:val="Tit2"/>
      </w:pPr>
      <w:bookmarkStart w:id="44" w:name="_Toc290662678"/>
      <w:r w:rsidRPr="0067058E">
        <w:t xml:space="preserve">Evolução do número de </w:t>
      </w:r>
      <w:r w:rsidR="00D63093">
        <w:t>diplomados</w:t>
      </w:r>
      <w:r w:rsidRPr="0067058E">
        <w:t xml:space="preserve"> do Ensino Superior</w:t>
      </w:r>
      <w:bookmarkEnd w:id="44"/>
    </w:p>
    <w:p w:rsidR="00F049A4" w:rsidRPr="00BB1611" w:rsidRDefault="00F049A4" w:rsidP="00BB1611">
      <w:r w:rsidRPr="00BB1611">
        <w:t>Entre o ano 200</w:t>
      </w:r>
      <w:r w:rsidR="00BB1611" w:rsidRPr="00BB1611">
        <w:t>5</w:t>
      </w:r>
      <w:r w:rsidRPr="00BB1611">
        <w:t xml:space="preserve"> e 200</w:t>
      </w:r>
      <w:r w:rsidR="00BB1611" w:rsidRPr="00BB1611">
        <w:t>9</w:t>
      </w:r>
      <w:r w:rsidRPr="00BB1611">
        <w:t xml:space="preserve"> verificou-se um crescimento do número de </w:t>
      </w:r>
      <w:r w:rsidR="00BB1611" w:rsidRPr="00BB1611">
        <w:t>diplomados</w:t>
      </w:r>
      <w:r w:rsidRPr="00BB1611">
        <w:t xml:space="preserve"> nos cursos d</w:t>
      </w:r>
      <w:r w:rsidR="00DC1B98">
        <w:t>e L</w:t>
      </w:r>
      <w:r w:rsidRPr="00BB1611">
        <w:t xml:space="preserve">icenciatura </w:t>
      </w:r>
      <w:r w:rsidR="00BB1611" w:rsidRPr="00BB1611">
        <w:t xml:space="preserve">1º ciclo </w:t>
      </w:r>
      <w:r w:rsidRPr="00BB1611">
        <w:t xml:space="preserve">(ISCED97 </w:t>
      </w:r>
      <w:r w:rsidR="00BB1611" w:rsidRPr="00BB1611">
        <w:t>–</w:t>
      </w:r>
      <w:r w:rsidRPr="00BB1611">
        <w:t xml:space="preserve"> 5</w:t>
      </w:r>
      <w:r w:rsidR="00BB1611" w:rsidRPr="00BB1611">
        <w:t>B</w:t>
      </w:r>
      <w:r w:rsidRPr="00BB1611">
        <w:t>)</w:t>
      </w:r>
      <w:r w:rsidR="00BB1611" w:rsidRPr="00BB1611">
        <w:t xml:space="preserve">, </w:t>
      </w:r>
      <w:r w:rsidR="00DC1B98">
        <w:t>Mestrado I</w:t>
      </w:r>
      <w:r w:rsidR="00BB1611" w:rsidRPr="00BB1611">
        <w:t>ntegrado (ISCED 5ª), Mestrado (ISCED 5A) e Doutoramento (ISCED 6)</w:t>
      </w:r>
      <w:r w:rsidRPr="00BB1611">
        <w:t xml:space="preserve">. </w:t>
      </w:r>
    </w:p>
    <w:p w:rsidR="00DC1B98" w:rsidRDefault="00DC1B98" w:rsidP="00DC1B98">
      <w:pPr>
        <w:pStyle w:val="Caption"/>
        <w:keepNext/>
      </w:pPr>
      <w:bookmarkStart w:id="45" w:name="_Toc290662032"/>
      <w:r>
        <w:t xml:space="preserve">Tabela </w:t>
      </w:r>
      <w:fldSimple w:instr=" SEQ Tabela \* ARABIC ">
        <w:r>
          <w:rPr>
            <w:noProof/>
          </w:rPr>
          <w:t>13</w:t>
        </w:r>
      </w:fldSimple>
      <w:r>
        <w:t xml:space="preserve"> - Evolução anual do número de diplomados do ensino superior, segundo o grau</w:t>
      </w:r>
      <w:bookmarkEnd w:id="45"/>
    </w:p>
    <w:tbl>
      <w:tblPr>
        <w:tblW w:w="7273" w:type="dxa"/>
        <w:tblInd w:w="55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1040"/>
        <w:gridCol w:w="880"/>
        <w:gridCol w:w="960"/>
        <w:gridCol w:w="960"/>
        <w:gridCol w:w="960"/>
      </w:tblGrid>
      <w:tr w:rsidR="00D63093" w:rsidRPr="00D63093" w:rsidTr="007B3745">
        <w:trPr>
          <w:trHeight w:val="300"/>
        </w:trPr>
        <w:tc>
          <w:tcPr>
            <w:tcW w:w="2473" w:type="dxa"/>
            <w:shd w:val="clear" w:color="auto" w:fill="EAF1DD" w:themeFill="accent3" w:themeFillTint="33"/>
            <w:noWrap/>
            <w:vAlign w:val="bottom"/>
            <w:hideMark/>
          </w:tcPr>
          <w:p w:rsidR="00D63093" w:rsidRPr="00D63093" w:rsidRDefault="00D63093" w:rsidP="00D63093">
            <w:pPr>
              <w:pStyle w:val="TabCab"/>
            </w:pPr>
            <w:r w:rsidRPr="00D63093">
              <w:t>Ano</w:t>
            </w:r>
          </w:p>
        </w:tc>
        <w:tc>
          <w:tcPr>
            <w:tcW w:w="1040" w:type="dxa"/>
            <w:shd w:val="clear" w:color="auto" w:fill="EAF1DD" w:themeFill="accent3" w:themeFillTint="33"/>
            <w:noWrap/>
            <w:vAlign w:val="bottom"/>
            <w:hideMark/>
          </w:tcPr>
          <w:p w:rsidR="00D63093" w:rsidRPr="00D63093" w:rsidRDefault="00D63093" w:rsidP="00D63093">
            <w:pPr>
              <w:pStyle w:val="TabCab"/>
            </w:pPr>
            <w:r w:rsidRPr="00D63093">
              <w:t>2005</w:t>
            </w:r>
          </w:p>
        </w:tc>
        <w:tc>
          <w:tcPr>
            <w:tcW w:w="880" w:type="dxa"/>
            <w:shd w:val="clear" w:color="auto" w:fill="EAF1DD" w:themeFill="accent3" w:themeFillTint="33"/>
            <w:noWrap/>
            <w:vAlign w:val="bottom"/>
            <w:hideMark/>
          </w:tcPr>
          <w:p w:rsidR="00D63093" w:rsidRPr="00D63093" w:rsidRDefault="00D63093" w:rsidP="00D63093">
            <w:pPr>
              <w:pStyle w:val="TabCab"/>
            </w:pPr>
            <w:r w:rsidRPr="00D63093">
              <w:t>2006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bottom"/>
            <w:hideMark/>
          </w:tcPr>
          <w:p w:rsidR="00D63093" w:rsidRPr="00D63093" w:rsidRDefault="00D63093" w:rsidP="00D63093">
            <w:pPr>
              <w:pStyle w:val="TabCab"/>
            </w:pPr>
            <w:r w:rsidRPr="00D63093">
              <w:t>2007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bottom"/>
            <w:hideMark/>
          </w:tcPr>
          <w:p w:rsidR="00D63093" w:rsidRPr="00D63093" w:rsidRDefault="00D63093" w:rsidP="00D63093">
            <w:pPr>
              <w:pStyle w:val="TabCab"/>
            </w:pPr>
            <w:r w:rsidRPr="00D63093">
              <w:t>2008</w:t>
            </w:r>
          </w:p>
        </w:tc>
        <w:tc>
          <w:tcPr>
            <w:tcW w:w="960" w:type="dxa"/>
            <w:shd w:val="clear" w:color="auto" w:fill="EAF1DD" w:themeFill="accent3" w:themeFillTint="33"/>
            <w:noWrap/>
            <w:vAlign w:val="bottom"/>
            <w:hideMark/>
          </w:tcPr>
          <w:p w:rsidR="00D63093" w:rsidRPr="00D63093" w:rsidRDefault="00D63093" w:rsidP="00D63093">
            <w:pPr>
              <w:pStyle w:val="TabCab"/>
            </w:pPr>
            <w:r w:rsidRPr="00D63093">
              <w:t>2009</w:t>
            </w:r>
          </w:p>
        </w:tc>
      </w:tr>
      <w:tr w:rsidR="00D63093" w:rsidRPr="00D63093" w:rsidTr="007B3745">
        <w:trPr>
          <w:trHeight w:val="300"/>
        </w:trPr>
        <w:tc>
          <w:tcPr>
            <w:tcW w:w="2473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1col"/>
            </w:pPr>
            <w:r w:rsidRPr="00D63093">
              <w:t>Bacharelato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13035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12762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8748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3230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762</w:t>
            </w:r>
          </w:p>
        </w:tc>
      </w:tr>
      <w:tr w:rsidR="00D63093" w:rsidRPr="00D63093" w:rsidTr="007B3745">
        <w:trPr>
          <w:trHeight w:val="300"/>
        </w:trPr>
        <w:tc>
          <w:tcPr>
            <w:tcW w:w="2473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1col"/>
            </w:pPr>
            <w:r w:rsidRPr="00D63093">
              <w:t>Licenciatura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45771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47131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42939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24485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12426</w:t>
            </w:r>
          </w:p>
        </w:tc>
      </w:tr>
      <w:tr w:rsidR="00D63093" w:rsidRPr="00D63093" w:rsidTr="007B3745">
        <w:trPr>
          <w:trHeight w:val="300"/>
        </w:trPr>
        <w:tc>
          <w:tcPr>
            <w:tcW w:w="2473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1col"/>
            </w:pPr>
            <w:r w:rsidRPr="00D63093">
              <w:t>Complemento de Formação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5.117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3.974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2.217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1.424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737</w:t>
            </w:r>
          </w:p>
        </w:tc>
      </w:tr>
      <w:tr w:rsidR="00D63093" w:rsidRPr="00D63093" w:rsidTr="007B3745">
        <w:trPr>
          <w:trHeight w:val="300"/>
        </w:trPr>
        <w:tc>
          <w:tcPr>
            <w:tcW w:w="2473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1col"/>
            </w:pPr>
            <w:r w:rsidRPr="00D63093">
              <w:t>Licenciatura - 1.º ciclo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D63093" w:rsidRPr="00D63093" w:rsidRDefault="00D63093" w:rsidP="00D63093">
            <w:pPr>
              <w:pStyle w:val="Tabcorpo"/>
            </w:pPr>
            <w:proofErr w:type="gramStart"/>
            <w:r>
              <w:t>n.d.</w:t>
            </w:r>
            <w:proofErr w:type="gramEnd"/>
          </w:p>
        </w:tc>
        <w:tc>
          <w:tcPr>
            <w:tcW w:w="880" w:type="dxa"/>
            <w:shd w:val="clear" w:color="auto" w:fill="auto"/>
            <w:vAlign w:val="bottom"/>
          </w:tcPr>
          <w:p w:rsidR="00D63093" w:rsidRPr="00D63093" w:rsidRDefault="00D63093" w:rsidP="00D63093">
            <w:pPr>
              <w:pStyle w:val="Tabcorpo"/>
            </w:pPr>
            <w:proofErr w:type="gramStart"/>
            <w:r>
              <w:t>n.d.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19061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40010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42514</w:t>
            </w:r>
          </w:p>
        </w:tc>
      </w:tr>
      <w:tr w:rsidR="00D63093" w:rsidRPr="00D63093" w:rsidTr="007B3745">
        <w:trPr>
          <w:trHeight w:val="300"/>
        </w:trPr>
        <w:tc>
          <w:tcPr>
            <w:tcW w:w="2473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1col"/>
            </w:pPr>
            <w:r w:rsidRPr="00D63093">
              <w:t>Mestrado Integrado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D63093" w:rsidRPr="00D63093" w:rsidRDefault="00D63093" w:rsidP="00D63093">
            <w:pPr>
              <w:pStyle w:val="Tabcorpo"/>
            </w:pPr>
            <w:proofErr w:type="gramStart"/>
            <w:r>
              <w:t>n.d.</w:t>
            </w:r>
            <w:proofErr w:type="gram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proofErr w:type="gramStart"/>
            <w:r>
              <w:t>n.d.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4831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6782</w:t>
            </w:r>
          </w:p>
        </w:tc>
      </w:tr>
      <w:tr w:rsidR="00D63093" w:rsidRPr="00D63093" w:rsidTr="007B3745">
        <w:trPr>
          <w:trHeight w:val="300"/>
        </w:trPr>
        <w:tc>
          <w:tcPr>
            <w:tcW w:w="2473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1col"/>
            </w:pPr>
            <w:r w:rsidRPr="00D63093">
              <w:t>Mestrado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3.152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4.248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5323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6274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9369</w:t>
            </w:r>
          </w:p>
        </w:tc>
      </w:tr>
      <w:tr w:rsidR="00D63093" w:rsidRPr="00D63093" w:rsidTr="007B3745">
        <w:trPr>
          <w:trHeight w:val="300"/>
        </w:trPr>
        <w:tc>
          <w:tcPr>
            <w:tcW w:w="2473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1col"/>
            </w:pPr>
            <w:r w:rsidRPr="00D63093">
              <w:t>Especializações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1914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2619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2735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2470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2710</w:t>
            </w:r>
          </w:p>
        </w:tc>
      </w:tr>
      <w:tr w:rsidR="00D63093" w:rsidRPr="00D63093" w:rsidTr="007B3745">
        <w:trPr>
          <w:trHeight w:val="300"/>
        </w:trPr>
        <w:tc>
          <w:tcPr>
            <w:tcW w:w="2473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1col"/>
            </w:pPr>
            <w:r w:rsidRPr="00D63093">
              <w:t>Doutoramento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998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1094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1269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1285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corpo"/>
            </w:pPr>
            <w:r w:rsidRPr="00D63093">
              <w:t>1267</w:t>
            </w:r>
          </w:p>
        </w:tc>
      </w:tr>
      <w:tr w:rsidR="00D63093" w:rsidRPr="00D63093" w:rsidTr="007B3745">
        <w:trPr>
          <w:trHeight w:val="300"/>
        </w:trPr>
        <w:tc>
          <w:tcPr>
            <w:tcW w:w="2473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1col"/>
            </w:pPr>
            <w:r w:rsidRPr="00D63093">
              <w:t>Total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tot"/>
            </w:pPr>
            <w:r w:rsidRPr="00D63093">
              <w:t>69.987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tot"/>
            </w:pPr>
            <w:r w:rsidRPr="00D63093">
              <w:t>71828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tot"/>
            </w:pPr>
            <w:r w:rsidRPr="00D63093">
              <w:t>83276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tot"/>
            </w:pPr>
            <w:r w:rsidRPr="00D63093">
              <w:t>84009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3093" w:rsidRPr="00D63093" w:rsidRDefault="00D63093" w:rsidP="00D63093">
            <w:pPr>
              <w:pStyle w:val="Tabtot"/>
            </w:pPr>
            <w:r w:rsidRPr="00D63093">
              <w:t>76567</w:t>
            </w:r>
          </w:p>
        </w:tc>
      </w:tr>
    </w:tbl>
    <w:p w:rsidR="00F049A4" w:rsidRPr="0067058E" w:rsidRDefault="00F049A4" w:rsidP="00F049A4">
      <w:pPr>
        <w:pStyle w:val="NOTA"/>
      </w:pPr>
      <w:r w:rsidRPr="0067058E">
        <w:t xml:space="preserve">Fonte: </w:t>
      </w:r>
      <w:r w:rsidR="00D63093" w:rsidRPr="00D63093">
        <w:t>GPEARI/MCTES</w:t>
      </w:r>
      <w:r w:rsidR="00D63093">
        <w:t>/</w:t>
      </w:r>
      <w:r w:rsidR="00D63093" w:rsidRPr="00D63093">
        <w:t>DIMAS/RAIDES</w:t>
      </w:r>
    </w:p>
    <w:p w:rsidR="00F049A4" w:rsidRPr="0067058E" w:rsidRDefault="00F049A4" w:rsidP="00F049A4">
      <w:pPr>
        <w:keepNext/>
        <w:jc w:val="center"/>
        <w:rPr>
          <w:color w:val="45556A"/>
        </w:rPr>
      </w:pPr>
    </w:p>
    <w:p w:rsidR="00F049A4" w:rsidRPr="00BB1611" w:rsidRDefault="00F049A4" w:rsidP="00BB1611">
      <w:r w:rsidRPr="00BB1611">
        <w:t>Os cursos de Bacharelato</w:t>
      </w:r>
      <w:r w:rsidR="00BB1611" w:rsidRPr="00BB1611">
        <w:t>, Licenciatura</w:t>
      </w:r>
      <w:r w:rsidRPr="00BB1611">
        <w:t xml:space="preserve"> e os </w:t>
      </w:r>
      <w:r w:rsidR="00BB1611" w:rsidRPr="00BB1611">
        <w:t>Complementos de Formação</w:t>
      </w:r>
      <w:r w:rsidRPr="00BB1611">
        <w:t xml:space="preserve"> sofreram um decréscimo no mesmo período. Esta tendência</w:t>
      </w:r>
      <w:proofErr w:type="gramStart"/>
      <w:r w:rsidRPr="00BB1611">
        <w:t>,</w:t>
      </w:r>
      <w:proofErr w:type="gramEnd"/>
      <w:r w:rsidRPr="00BB1611">
        <w:t xml:space="preserve"> </w:t>
      </w:r>
      <w:r w:rsidR="00BB1611" w:rsidRPr="00BB1611">
        <w:t>resulta das reestruturações no ensino superior</w:t>
      </w:r>
      <w:r w:rsidR="00BB1611">
        <w:t xml:space="preserve"> e extinção destes graus</w:t>
      </w:r>
      <w:r w:rsidRPr="00BB1611">
        <w:t>.</w:t>
      </w:r>
    </w:p>
    <w:p w:rsidR="00EA2575" w:rsidRDefault="00EA2575" w:rsidP="00EA2575">
      <w:pPr>
        <w:pStyle w:val="Tit2"/>
      </w:pPr>
      <w:bookmarkStart w:id="46" w:name="_Toc290662679"/>
      <w:r w:rsidRPr="0067058E">
        <w:t xml:space="preserve">Evolução do número de graduados do Ensino Superior </w:t>
      </w:r>
      <w:r>
        <w:t>por tipo de ensino</w:t>
      </w:r>
      <w:bookmarkEnd w:id="46"/>
    </w:p>
    <w:p w:rsidR="00DC1B98" w:rsidRPr="00DC1B98" w:rsidRDefault="00DC1B98" w:rsidP="00DC1B98">
      <w:r>
        <w:t xml:space="preserve">No período em análise identifica-se um aumento do número de diplomados no ensino universitário, em contraste com o que se regista no ensino politécnico. </w:t>
      </w:r>
    </w:p>
    <w:p w:rsidR="00DC1B98" w:rsidRDefault="00DC1B98" w:rsidP="00DC1B98">
      <w:pPr>
        <w:pStyle w:val="Caption"/>
        <w:keepNext/>
      </w:pPr>
      <w:bookmarkStart w:id="47" w:name="_Toc290662033"/>
      <w:r>
        <w:t xml:space="preserve">Tabela </w:t>
      </w:r>
      <w:fldSimple w:instr=" SEQ Tabela \* ARABIC ">
        <w:r>
          <w:rPr>
            <w:noProof/>
          </w:rPr>
          <w:t>14</w:t>
        </w:r>
      </w:fldSimple>
      <w:r>
        <w:t xml:space="preserve"> – Evolução anual do número de diplomados do ensino superior, segundo o tipo de ensino</w:t>
      </w:r>
      <w:bookmarkEnd w:id="47"/>
    </w:p>
    <w:tbl>
      <w:tblPr>
        <w:tblW w:w="3840" w:type="dxa"/>
        <w:tblInd w:w="55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274"/>
        <w:gridCol w:w="1093"/>
        <w:gridCol w:w="784"/>
      </w:tblGrid>
      <w:tr w:rsidR="00EA2575" w:rsidRPr="00EA2575" w:rsidTr="00DC1B98">
        <w:trPr>
          <w:trHeight w:val="570"/>
        </w:trPr>
        <w:tc>
          <w:tcPr>
            <w:tcW w:w="689" w:type="dxa"/>
            <w:shd w:val="clear" w:color="auto" w:fill="EAF1DD" w:themeFill="accent3" w:themeFillTint="33"/>
            <w:vAlign w:val="center"/>
            <w:hideMark/>
          </w:tcPr>
          <w:p w:rsidR="00EA2575" w:rsidRPr="00EA2575" w:rsidRDefault="00EA2575" w:rsidP="00EA2575">
            <w:pPr>
              <w:pStyle w:val="TabCab"/>
            </w:pPr>
            <w:r w:rsidRPr="00EA2575">
              <w:t>Ano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  <w:hideMark/>
          </w:tcPr>
          <w:p w:rsidR="00EA2575" w:rsidRPr="00EA2575" w:rsidRDefault="00EA2575" w:rsidP="00EA2575">
            <w:pPr>
              <w:pStyle w:val="TabCab"/>
            </w:pPr>
            <w:r w:rsidRPr="00EA2575">
              <w:t>Universitário</w:t>
            </w:r>
          </w:p>
        </w:tc>
        <w:tc>
          <w:tcPr>
            <w:tcW w:w="1093" w:type="dxa"/>
            <w:shd w:val="clear" w:color="auto" w:fill="EAF1DD" w:themeFill="accent3" w:themeFillTint="33"/>
            <w:vAlign w:val="center"/>
            <w:hideMark/>
          </w:tcPr>
          <w:p w:rsidR="00EA2575" w:rsidRPr="00EA2575" w:rsidRDefault="00EA2575" w:rsidP="00EA2575">
            <w:pPr>
              <w:pStyle w:val="TabCab"/>
            </w:pPr>
            <w:r w:rsidRPr="00EA2575">
              <w:t>Politécnico</w:t>
            </w:r>
          </w:p>
        </w:tc>
        <w:tc>
          <w:tcPr>
            <w:tcW w:w="784" w:type="dxa"/>
            <w:shd w:val="clear" w:color="auto" w:fill="EAF1DD" w:themeFill="accent3" w:themeFillTint="33"/>
            <w:vAlign w:val="center"/>
            <w:hideMark/>
          </w:tcPr>
          <w:p w:rsidR="00EA2575" w:rsidRPr="00EA2575" w:rsidRDefault="00EA2575" w:rsidP="00EA2575">
            <w:pPr>
              <w:pStyle w:val="TabCab"/>
            </w:pPr>
            <w:r w:rsidRPr="00EA2575">
              <w:t>Total</w:t>
            </w:r>
          </w:p>
        </w:tc>
      </w:tr>
      <w:tr w:rsidR="00EA2575" w:rsidRPr="00EA2575" w:rsidTr="00DC1B98">
        <w:trPr>
          <w:trHeight w:val="300"/>
        </w:trPr>
        <w:tc>
          <w:tcPr>
            <w:tcW w:w="689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2005</w:t>
            </w:r>
          </w:p>
        </w:tc>
        <w:tc>
          <w:tcPr>
            <w:tcW w:w="1274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36455</w:t>
            </w:r>
          </w:p>
        </w:tc>
        <w:tc>
          <w:tcPr>
            <w:tcW w:w="1093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33532</w:t>
            </w:r>
          </w:p>
        </w:tc>
        <w:tc>
          <w:tcPr>
            <w:tcW w:w="784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tot"/>
            </w:pPr>
            <w:r w:rsidRPr="00EA2575">
              <w:t>69987</w:t>
            </w:r>
          </w:p>
        </w:tc>
      </w:tr>
      <w:tr w:rsidR="00EA2575" w:rsidRPr="00EA2575" w:rsidTr="00DC1B98">
        <w:trPr>
          <w:trHeight w:val="300"/>
        </w:trPr>
        <w:tc>
          <w:tcPr>
            <w:tcW w:w="689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2006</w:t>
            </w:r>
          </w:p>
        </w:tc>
        <w:tc>
          <w:tcPr>
            <w:tcW w:w="1274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38541</w:t>
            </w:r>
          </w:p>
        </w:tc>
        <w:tc>
          <w:tcPr>
            <w:tcW w:w="1093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33287</w:t>
            </w:r>
          </w:p>
        </w:tc>
        <w:tc>
          <w:tcPr>
            <w:tcW w:w="784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tot"/>
            </w:pPr>
            <w:r w:rsidRPr="00EA2575">
              <w:t>71828</w:t>
            </w:r>
          </w:p>
        </w:tc>
      </w:tr>
      <w:tr w:rsidR="00EA2575" w:rsidRPr="00EA2575" w:rsidTr="00DC1B98">
        <w:trPr>
          <w:trHeight w:val="300"/>
        </w:trPr>
        <w:tc>
          <w:tcPr>
            <w:tcW w:w="689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2007</w:t>
            </w:r>
          </w:p>
        </w:tc>
        <w:tc>
          <w:tcPr>
            <w:tcW w:w="1274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46255</w:t>
            </w:r>
          </w:p>
        </w:tc>
        <w:tc>
          <w:tcPr>
            <w:tcW w:w="1093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37021</w:t>
            </w:r>
          </w:p>
        </w:tc>
        <w:tc>
          <w:tcPr>
            <w:tcW w:w="784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tot"/>
            </w:pPr>
            <w:r w:rsidRPr="00EA2575">
              <w:t>83276</w:t>
            </w:r>
          </w:p>
        </w:tc>
      </w:tr>
      <w:tr w:rsidR="00EA2575" w:rsidRPr="00EA2575" w:rsidTr="00DC1B98">
        <w:trPr>
          <w:trHeight w:val="300"/>
        </w:trPr>
        <w:tc>
          <w:tcPr>
            <w:tcW w:w="689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2008</w:t>
            </w:r>
          </w:p>
        </w:tc>
        <w:tc>
          <w:tcPr>
            <w:tcW w:w="1274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47824</w:t>
            </w:r>
          </w:p>
        </w:tc>
        <w:tc>
          <w:tcPr>
            <w:tcW w:w="1093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36185</w:t>
            </w:r>
          </w:p>
        </w:tc>
        <w:tc>
          <w:tcPr>
            <w:tcW w:w="784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tot"/>
            </w:pPr>
            <w:r w:rsidRPr="00EA2575">
              <w:t>84009</w:t>
            </w:r>
          </w:p>
        </w:tc>
      </w:tr>
      <w:tr w:rsidR="00EA2575" w:rsidRPr="00EA2575" w:rsidTr="00DC1B98">
        <w:trPr>
          <w:trHeight w:val="300"/>
        </w:trPr>
        <w:tc>
          <w:tcPr>
            <w:tcW w:w="689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2009</w:t>
            </w:r>
          </w:p>
        </w:tc>
        <w:tc>
          <w:tcPr>
            <w:tcW w:w="1274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48.848</w:t>
            </w:r>
          </w:p>
        </w:tc>
        <w:tc>
          <w:tcPr>
            <w:tcW w:w="1093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27.719</w:t>
            </w:r>
          </w:p>
        </w:tc>
        <w:tc>
          <w:tcPr>
            <w:tcW w:w="784" w:type="dxa"/>
            <w:shd w:val="clear" w:color="000000" w:fill="FFFFFF"/>
            <w:hideMark/>
          </w:tcPr>
          <w:p w:rsidR="00EA2575" w:rsidRPr="00EA2575" w:rsidRDefault="00EA2575" w:rsidP="00EA2575">
            <w:pPr>
              <w:pStyle w:val="Tabtot"/>
            </w:pPr>
            <w:r w:rsidRPr="00EA2575">
              <w:t>76.567</w:t>
            </w:r>
          </w:p>
        </w:tc>
      </w:tr>
    </w:tbl>
    <w:p w:rsidR="00EA2575" w:rsidRDefault="00EA2575" w:rsidP="00F049A4">
      <w:pPr>
        <w:spacing w:before="120" w:after="120"/>
        <w:rPr>
          <w:rFonts w:ascii="Arial" w:hAnsi="Arial" w:cs="Arial"/>
          <w:color w:val="45556A"/>
        </w:rPr>
      </w:pPr>
    </w:p>
    <w:p w:rsidR="00F049A4" w:rsidRDefault="00F049A4" w:rsidP="00F049A4">
      <w:pPr>
        <w:pStyle w:val="Tit2"/>
      </w:pPr>
      <w:bookmarkStart w:id="48" w:name="_Toc290662680"/>
      <w:r w:rsidRPr="0067058E">
        <w:t xml:space="preserve">Evolução do número de graduados do Ensino Superior </w:t>
      </w:r>
      <w:r w:rsidR="007B3745">
        <w:t>por subsistema de ensino</w:t>
      </w:r>
      <w:bookmarkEnd w:id="48"/>
    </w:p>
    <w:p w:rsidR="00DC1B98" w:rsidRPr="00DC1B98" w:rsidRDefault="00DC1B98" w:rsidP="00DC1B98">
      <w:r>
        <w:t>A tendência decrescente no número de diplomados no ensino privado não se verifica no ensino público, apesar deste último ter decrescido substancialmente de 2008 para 2009.</w:t>
      </w:r>
    </w:p>
    <w:p w:rsidR="00DC1B98" w:rsidRDefault="00DC1B98" w:rsidP="00DC1B98">
      <w:pPr>
        <w:pStyle w:val="Caption"/>
        <w:keepNext/>
      </w:pPr>
      <w:bookmarkStart w:id="49" w:name="_Toc290662034"/>
      <w:r>
        <w:t xml:space="preserve">Tabela </w:t>
      </w:r>
      <w:fldSimple w:instr=" SEQ Tabela \* ARABIC ">
        <w:r>
          <w:rPr>
            <w:noProof/>
          </w:rPr>
          <w:t>15</w:t>
        </w:r>
      </w:fldSimple>
      <w:proofErr w:type="gramStart"/>
      <w:r>
        <w:t>–</w:t>
      </w:r>
      <w:proofErr w:type="gramEnd"/>
      <w:r>
        <w:t xml:space="preserve"> Evolução anual do número de diplomados do ensino superior, segundo a natureza de ensino</w:t>
      </w:r>
      <w:bookmarkEnd w:id="49"/>
    </w:p>
    <w:tbl>
      <w:tblPr>
        <w:tblW w:w="3526" w:type="dxa"/>
        <w:tblInd w:w="55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960"/>
        <w:gridCol w:w="960"/>
        <w:gridCol w:w="960"/>
      </w:tblGrid>
      <w:tr w:rsidR="007B3745" w:rsidRPr="007B3745" w:rsidTr="007B3745">
        <w:trPr>
          <w:trHeight w:val="300"/>
        </w:trPr>
        <w:tc>
          <w:tcPr>
            <w:tcW w:w="646" w:type="dxa"/>
            <w:shd w:val="clear" w:color="auto" w:fill="EAF1DD" w:themeFill="accent3" w:themeFillTint="33"/>
            <w:vAlign w:val="center"/>
            <w:hideMark/>
          </w:tcPr>
          <w:p w:rsidR="007B3745" w:rsidRPr="007B3745" w:rsidRDefault="007B3745" w:rsidP="007B3745">
            <w:pPr>
              <w:pStyle w:val="TabCab"/>
            </w:pPr>
            <w:r w:rsidRPr="007B3745">
              <w:t> </w:t>
            </w:r>
            <w:r>
              <w:t>Ano</w:t>
            </w:r>
          </w:p>
        </w:tc>
        <w:tc>
          <w:tcPr>
            <w:tcW w:w="960" w:type="dxa"/>
            <w:shd w:val="clear" w:color="auto" w:fill="EAF1DD" w:themeFill="accent3" w:themeFillTint="33"/>
            <w:vAlign w:val="center"/>
            <w:hideMark/>
          </w:tcPr>
          <w:p w:rsidR="007B3745" w:rsidRPr="007B3745" w:rsidRDefault="007B3745" w:rsidP="007B3745">
            <w:pPr>
              <w:pStyle w:val="TabCab"/>
            </w:pPr>
            <w:r w:rsidRPr="007B3745">
              <w:t>Público</w:t>
            </w:r>
          </w:p>
        </w:tc>
        <w:tc>
          <w:tcPr>
            <w:tcW w:w="960" w:type="dxa"/>
            <w:shd w:val="clear" w:color="auto" w:fill="EAF1DD" w:themeFill="accent3" w:themeFillTint="33"/>
            <w:vAlign w:val="center"/>
            <w:hideMark/>
          </w:tcPr>
          <w:p w:rsidR="007B3745" w:rsidRPr="007B3745" w:rsidRDefault="007B3745" w:rsidP="007B3745">
            <w:pPr>
              <w:pStyle w:val="TabCab"/>
            </w:pPr>
            <w:r w:rsidRPr="007B3745">
              <w:t>Privado</w:t>
            </w:r>
          </w:p>
        </w:tc>
        <w:tc>
          <w:tcPr>
            <w:tcW w:w="960" w:type="dxa"/>
            <w:shd w:val="clear" w:color="auto" w:fill="EAF1DD" w:themeFill="accent3" w:themeFillTint="33"/>
            <w:vAlign w:val="center"/>
            <w:hideMark/>
          </w:tcPr>
          <w:p w:rsidR="007B3745" w:rsidRPr="007B3745" w:rsidRDefault="007B3745" w:rsidP="007B3745">
            <w:pPr>
              <w:pStyle w:val="TabCab"/>
            </w:pPr>
            <w:r w:rsidRPr="007B3745">
              <w:t>Total</w:t>
            </w:r>
          </w:p>
        </w:tc>
      </w:tr>
      <w:tr w:rsidR="007B3745" w:rsidRPr="007B3745" w:rsidTr="007B3745">
        <w:trPr>
          <w:trHeight w:val="300"/>
        </w:trPr>
        <w:tc>
          <w:tcPr>
            <w:tcW w:w="646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1col"/>
            </w:pPr>
            <w:r w:rsidRPr="007B3745">
              <w:t>2005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corpo"/>
            </w:pPr>
            <w:r w:rsidRPr="007B3745">
              <w:t>49184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corpo"/>
            </w:pPr>
            <w:r w:rsidRPr="007B3745">
              <w:t>20803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tot"/>
            </w:pPr>
            <w:r w:rsidRPr="007B3745">
              <w:t>69987</w:t>
            </w:r>
          </w:p>
        </w:tc>
      </w:tr>
      <w:tr w:rsidR="007B3745" w:rsidRPr="007B3745" w:rsidTr="007B3745">
        <w:trPr>
          <w:trHeight w:val="300"/>
        </w:trPr>
        <w:tc>
          <w:tcPr>
            <w:tcW w:w="646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1col"/>
            </w:pPr>
            <w:r w:rsidRPr="007B3745">
              <w:t>2006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corpo"/>
            </w:pPr>
            <w:r w:rsidRPr="007B3745">
              <w:t>50518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corpo"/>
            </w:pPr>
            <w:r w:rsidRPr="007B3745">
              <w:t>21310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tot"/>
            </w:pPr>
            <w:r w:rsidRPr="007B3745">
              <w:t>71828</w:t>
            </w:r>
          </w:p>
        </w:tc>
      </w:tr>
      <w:tr w:rsidR="007B3745" w:rsidRPr="007B3745" w:rsidTr="007B3745">
        <w:trPr>
          <w:trHeight w:val="300"/>
        </w:trPr>
        <w:tc>
          <w:tcPr>
            <w:tcW w:w="646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1col"/>
            </w:pPr>
            <w:r w:rsidRPr="007B3745">
              <w:t>2007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corpo"/>
            </w:pPr>
            <w:r w:rsidRPr="007B3745">
              <w:t>62063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corpo"/>
            </w:pPr>
            <w:r w:rsidRPr="007B3745">
              <w:t>21213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tot"/>
            </w:pPr>
            <w:r w:rsidRPr="007B3745">
              <w:t>83276</w:t>
            </w:r>
          </w:p>
        </w:tc>
      </w:tr>
      <w:tr w:rsidR="007B3745" w:rsidRPr="007B3745" w:rsidTr="007B3745">
        <w:trPr>
          <w:trHeight w:val="300"/>
        </w:trPr>
        <w:tc>
          <w:tcPr>
            <w:tcW w:w="646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1col"/>
            </w:pPr>
            <w:r w:rsidRPr="007B3745">
              <w:t>2008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corpo"/>
            </w:pPr>
            <w:r w:rsidRPr="007B3745">
              <w:t>64469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corpo"/>
            </w:pPr>
            <w:r w:rsidRPr="007B3745">
              <w:t>19540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tot"/>
            </w:pPr>
            <w:r w:rsidRPr="007B3745">
              <w:t>84009</w:t>
            </w:r>
          </w:p>
        </w:tc>
      </w:tr>
      <w:tr w:rsidR="007B3745" w:rsidRPr="007B3745" w:rsidTr="007B3745">
        <w:trPr>
          <w:trHeight w:val="300"/>
        </w:trPr>
        <w:tc>
          <w:tcPr>
            <w:tcW w:w="646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1col"/>
            </w:pPr>
            <w:r w:rsidRPr="007B3745">
              <w:t>2009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corpo"/>
            </w:pPr>
            <w:r w:rsidRPr="007B3745">
              <w:t>57428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corpo"/>
            </w:pPr>
            <w:r w:rsidRPr="007B3745">
              <w:t>19139</w:t>
            </w:r>
          </w:p>
        </w:tc>
        <w:tc>
          <w:tcPr>
            <w:tcW w:w="960" w:type="dxa"/>
            <w:shd w:val="clear" w:color="000000" w:fill="FFFFFF"/>
            <w:hideMark/>
          </w:tcPr>
          <w:p w:rsidR="007B3745" w:rsidRPr="007B3745" w:rsidRDefault="007B3745" w:rsidP="007B3745">
            <w:pPr>
              <w:pStyle w:val="Tabtot"/>
            </w:pPr>
            <w:r w:rsidRPr="007B3745">
              <w:t>76567</w:t>
            </w:r>
          </w:p>
        </w:tc>
      </w:tr>
    </w:tbl>
    <w:p w:rsidR="007B3745" w:rsidRPr="0067058E" w:rsidRDefault="007B3745" w:rsidP="007B3745">
      <w:pPr>
        <w:pStyle w:val="NOTA"/>
      </w:pPr>
      <w:r w:rsidRPr="0067058E">
        <w:t xml:space="preserve">Fonte: </w:t>
      </w:r>
      <w:r w:rsidRPr="00D63093">
        <w:t>GPEARI/MCTES</w:t>
      </w:r>
      <w:r>
        <w:t>/</w:t>
      </w:r>
      <w:r w:rsidRPr="00D63093">
        <w:t>DIMAS/RAIDES</w:t>
      </w:r>
    </w:p>
    <w:p w:rsidR="00F049A4" w:rsidRDefault="00F049A4" w:rsidP="00F049A4">
      <w:pPr>
        <w:pStyle w:val="Tit2"/>
      </w:pPr>
      <w:bookmarkStart w:id="50" w:name="_Toc290662681"/>
      <w:r w:rsidRPr="0067058E">
        <w:t xml:space="preserve">Evolução do número de graduados </w:t>
      </w:r>
      <w:r w:rsidR="00EA2575">
        <w:t>d</w:t>
      </w:r>
      <w:r w:rsidRPr="0067058E">
        <w:t>o Ensino Superior por áreas de conhecimento</w:t>
      </w:r>
      <w:bookmarkEnd w:id="50"/>
    </w:p>
    <w:p w:rsidR="00DC1B98" w:rsidRDefault="00453E8B" w:rsidP="00DC1B98">
      <w:r>
        <w:t>Em todas as áreas de conhecimento existiu um crescimento no número de diplomados, excepto na Educação, acompanhando o decréscimo de matriculados na mesma área, e reproduzindo um pouco a tendência nacional de baixa empregabilidade no sector.</w:t>
      </w:r>
    </w:p>
    <w:p w:rsidR="00453E8B" w:rsidRDefault="00453E8B" w:rsidP="00DC1B98">
      <w:r>
        <w:t xml:space="preserve">Em termos de variação, regista-se um aumento mais substancial na área de </w:t>
      </w:r>
      <w:r w:rsidRPr="00453E8B">
        <w:t>Engenharia, Indústrias Transformadoras e Construção</w:t>
      </w:r>
      <w:r>
        <w:t>.</w:t>
      </w:r>
    </w:p>
    <w:p w:rsidR="00453E8B" w:rsidRPr="00DC1B98" w:rsidRDefault="00453E8B" w:rsidP="00DC1B98"/>
    <w:tbl>
      <w:tblPr>
        <w:tblW w:w="0" w:type="auto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640"/>
        <w:gridCol w:w="640"/>
        <w:gridCol w:w="640"/>
        <w:gridCol w:w="640"/>
        <w:gridCol w:w="640"/>
      </w:tblGrid>
      <w:tr w:rsidR="00EA2575" w:rsidRPr="00EA2575" w:rsidTr="00EA2575">
        <w:trPr>
          <w:trHeight w:val="300"/>
        </w:trPr>
        <w:tc>
          <w:tcPr>
            <w:tcW w:w="0" w:type="auto"/>
            <w:shd w:val="clear" w:color="auto" w:fill="EAF1DD" w:themeFill="accent3" w:themeFillTint="33"/>
            <w:vAlign w:val="center"/>
            <w:hideMark/>
          </w:tcPr>
          <w:p w:rsidR="00EA2575" w:rsidRPr="00EA2575" w:rsidRDefault="00EA2575" w:rsidP="00EA2575">
            <w:pPr>
              <w:pStyle w:val="TabCab"/>
            </w:pPr>
            <w:r w:rsidRPr="00EA2575">
              <w:t>Área de Conhecimento</w:t>
            </w:r>
          </w:p>
        </w:tc>
        <w:tc>
          <w:tcPr>
            <w:tcW w:w="0" w:type="auto"/>
            <w:shd w:val="clear" w:color="auto" w:fill="EAF1DD" w:themeFill="accent3" w:themeFillTint="33"/>
            <w:hideMark/>
          </w:tcPr>
          <w:p w:rsidR="00EA2575" w:rsidRPr="00EA2575" w:rsidRDefault="00EA2575" w:rsidP="00EA2575">
            <w:pPr>
              <w:pStyle w:val="TabCab"/>
            </w:pPr>
            <w:r w:rsidRPr="00EA2575">
              <w:t>2005</w:t>
            </w:r>
          </w:p>
        </w:tc>
        <w:tc>
          <w:tcPr>
            <w:tcW w:w="0" w:type="auto"/>
            <w:shd w:val="clear" w:color="auto" w:fill="EAF1DD" w:themeFill="accent3" w:themeFillTint="33"/>
            <w:hideMark/>
          </w:tcPr>
          <w:p w:rsidR="00EA2575" w:rsidRPr="00EA2575" w:rsidRDefault="00EA2575" w:rsidP="00EA2575">
            <w:pPr>
              <w:pStyle w:val="TabCab"/>
            </w:pPr>
            <w:r w:rsidRPr="00EA2575">
              <w:t>2006</w:t>
            </w:r>
          </w:p>
        </w:tc>
        <w:tc>
          <w:tcPr>
            <w:tcW w:w="0" w:type="auto"/>
            <w:shd w:val="clear" w:color="auto" w:fill="EAF1DD" w:themeFill="accent3" w:themeFillTint="33"/>
            <w:hideMark/>
          </w:tcPr>
          <w:p w:rsidR="00EA2575" w:rsidRPr="00EA2575" w:rsidRDefault="00EA2575" w:rsidP="00EA2575">
            <w:pPr>
              <w:pStyle w:val="TabCab"/>
            </w:pPr>
            <w:r w:rsidRPr="00EA2575">
              <w:t>2007</w:t>
            </w:r>
          </w:p>
        </w:tc>
        <w:tc>
          <w:tcPr>
            <w:tcW w:w="0" w:type="auto"/>
            <w:shd w:val="clear" w:color="auto" w:fill="EAF1DD" w:themeFill="accent3" w:themeFillTint="33"/>
            <w:hideMark/>
          </w:tcPr>
          <w:p w:rsidR="00EA2575" w:rsidRPr="00EA2575" w:rsidRDefault="00EA2575" w:rsidP="00EA2575">
            <w:pPr>
              <w:pStyle w:val="TabCab"/>
            </w:pPr>
            <w:r w:rsidRPr="00EA2575">
              <w:t>2008</w:t>
            </w:r>
          </w:p>
        </w:tc>
        <w:tc>
          <w:tcPr>
            <w:tcW w:w="0" w:type="auto"/>
            <w:shd w:val="clear" w:color="auto" w:fill="EAF1DD" w:themeFill="accent3" w:themeFillTint="33"/>
            <w:hideMark/>
          </w:tcPr>
          <w:p w:rsidR="00EA2575" w:rsidRPr="00EA2575" w:rsidRDefault="00EA2575" w:rsidP="00EA2575">
            <w:pPr>
              <w:pStyle w:val="TabCab"/>
            </w:pPr>
            <w:r w:rsidRPr="00EA2575">
              <w:t>2009</w:t>
            </w:r>
          </w:p>
        </w:tc>
      </w:tr>
      <w:tr w:rsidR="00EA2575" w:rsidRPr="00EA2575" w:rsidTr="00EA2575">
        <w:trPr>
          <w:trHeight w:val="344"/>
        </w:trPr>
        <w:tc>
          <w:tcPr>
            <w:tcW w:w="0" w:type="auto"/>
            <w:shd w:val="clear" w:color="auto" w:fill="auto"/>
            <w:vAlign w:val="center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Educação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10250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8939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7260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5398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4716</w:t>
            </w:r>
          </w:p>
        </w:tc>
      </w:tr>
      <w:tr w:rsidR="00EA2575" w:rsidRPr="00EA2575" w:rsidTr="00EA2575">
        <w:trPr>
          <w:trHeight w:val="278"/>
        </w:trPr>
        <w:tc>
          <w:tcPr>
            <w:tcW w:w="0" w:type="auto"/>
            <w:shd w:val="clear" w:color="auto" w:fill="auto"/>
            <w:vAlign w:val="center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Artes e Humanidades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6144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6135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7106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7474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6317</w:t>
            </w:r>
          </w:p>
        </w:tc>
      </w:tr>
      <w:tr w:rsidR="00EA2575" w:rsidRPr="00EA2575" w:rsidTr="00EA2575">
        <w:trPr>
          <w:trHeight w:val="269"/>
        </w:trPr>
        <w:tc>
          <w:tcPr>
            <w:tcW w:w="0" w:type="auto"/>
            <w:shd w:val="clear" w:color="auto" w:fill="auto"/>
            <w:vAlign w:val="center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Ciências Sociais, Comércio e Direito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19615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20919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25122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23525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22487</w:t>
            </w:r>
          </w:p>
        </w:tc>
      </w:tr>
      <w:tr w:rsidR="00EA2575" w:rsidRPr="00EA2575" w:rsidTr="00EA2575">
        <w:trPr>
          <w:trHeight w:val="272"/>
        </w:trPr>
        <w:tc>
          <w:tcPr>
            <w:tcW w:w="0" w:type="auto"/>
            <w:shd w:val="clear" w:color="auto" w:fill="auto"/>
            <w:vAlign w:val="center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Ciências, Matemática e Informática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4694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4314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5308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6294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5352</w:t>
            </w:r>
          </w:p>
        </w:tc>
      </w:tr>
      <w:tr w:rsidR="00EA2575" w:rsidRPr="00EA2575" w:rsidTr="00EA2575">
        <w:trPr>
          <w:trHeight w:val="275"/>
        </w:trPr>
        <w:tc>
          <w:tcPr>
            <w:tcW w:w="0" w:type="auto"/>
            <w:shd w:val="clear" w:color="auto" w:fill="auto"/>
            <w:vAlign w:val="center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Engenharia, Indústrias Transformadoras e Construção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10021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10189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15658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17037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15018</w:t>
            </w:r>
          </w:p>
        </w:tc>
      </w:tr>
      <w:tr w:rsidR="00EA2575" w:rsidRPr="00EA2575" w:rsidTr="00EA2575">
        <w:trPr>
          <w:trHeight w:val="268"/>
        </w:trPr>
        <w:tc>
          <w:tcPr>
            <w:tcW w:w="0" w:type="auto"/>
            <w:shd w:val="clear" w:color="auto" w:fill="auto"/>
            <w:vAlign w:val="center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Agricultura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1359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1228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1419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2046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1471</w:t>
            </w:r>
          </w:p>
        </w:tc>
      </w:tr>
      <w:tr w:rsidR="00EA2575" w:rsidRPr="00EA2575" w:rsidTr="00EA2575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Saúde e Protecção Social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13492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15662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16583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17398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16224</w:t>
            </w:r>
          </w:p>
        </w:tc>
      </w:tr>
      <w:tr w:rsidR="00EA2575" w:rsidRPr="00EA2575" w:rsidTr="00EA2575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Serviços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4412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4442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4820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4837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corpo"/>
            </w:pPr>
            <w:r w:rsidRPr="00EA2575">
              <w:t>4982</w:t>
            </w:r>
          </w:p>
        </w:tc>
      </w:tr>
      <w:tr w:rsidR="00EA2575" w:rsidRPr="00EA2575" w:rsidTr="00EA2575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A2575" w:rsidRPr="00EA2575" w:rsidRDefault="00EA2575" w:rsidP="00EA2575">
            <w:pPr>
              <w:pStyle w:val="Tab1col"/>
            </w:pPr>
            <w:r w:rsidRPr="00EA2575">
              <w:t>Total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tot"/>
            </w:pPr>
            <w:r w:rsidRPr="00EA2575">
              <w:t>69987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tot"/>
            </w:pPr>
            <w:r w:rsidRPr="00EA2575">
              <w:t>71828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tot"/>
            </w:pPr>
            <w:r w:rsidRPr="00EA2575">
              <w:t>83276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tot"/>
            </w:pPr>
            <w:r w:rsidRPr="00EA2575">
              <w:t>84009</w:t>
            </w:r>
          </w:p>
        </w:tc>
        <w:tc>
          <w:tcPr>
            <w:tcW w:w="0" w:type="auto"/>
            <w:shd w:val="clear" w:color="auto" w:fill="auto"/>
            <w:hideMark/>
          </w:tcPr>
          <w:p w:rsidR="00EA2575" w:rsidRPr="00EA2575" w:rsidRDefault="00EA2575" w:rsidP="00EA2575">
            <w:pPr>
              <w:pStyle w:val="Tabtot"/>
            </w:pPr>
            <w:r w:rsidRPr="00EA2575">
              <w:t>76567</w:t>
            </w:r>
          </w:p>
        </w:tc>
      </w:tr>
    </w:tbl>
    <w:p w:rsidR="00EA2575" w:rsidRPr="0067058E" w:rsidRDefault="00EA2575" w:rsidP="00EA2575">
      <w:pPr>
        <w:pStyle w:val="NOTA"/>
      </w:pPr>
      <w:r w:rsidRPr="0067058E">
        <w:t xml:space="preserve">Fonte: </w:t>
      </w:r>
      <w:r w:rsidRPr="00D63093">
        <w:t>GPEARI/MCTES</w:t>
      </w:r>
      <w:r>
        <w:t>/</w:t>
      </w:r>
      <w:r w:rsidRPr="00D63093">
        <w:t>DIMAS/RAIDES</w:t>
      </w:r>
    </w:p>
    <w:p w:rsidR="00F049A4" w:rsidRPr="0067058E" w:rsidRDefault="00F049A4" w:rsidP="00EA2575">
      <w:pPr>
        <w:pStyle w:val="Tit2"/>
      </w:pPr>
      <w:bookmarkStart w:id="51" w:name="_Toc290662682"/>
      <w:r w:rsidRPr="0067058E">
        <w:t xml:space="preserve">Taxas de sucesso e </w:t>
      </w:r>
      <w:r w:rsidR="00EA2575">
        <w:t>abandono</w:t>
      </w:r>
      <w:r w:rsidRPr="0067058E">
        <w:t xml:space="preserve"> no Ensino Superior</w:t>
      </w:r>
      <w:bookmarkEnd w:id="51"/>
    </w:p>
    <w:p w:rsidR="0007079D" w:rsidRPr="00453E8B" w:rsidRDefault="00453E8B" w:rsidP="00F049A4">
      <w:pPr>
        <w:rPr>
          <w:highlight w:val="yellow"/>
        </w:rPr>
      </w:pPr>
      <w:r w:rsidRPr="00453E8B">
        <w:rPr>
          <w:highlight w:val="yellow"/>
        </w:rPr>
        <w:t>A ú</w:t>
      </w:r>
      <w:r w:rsidR="00476E24" w:rsidRPr="00453E8B">
        <w:rPr>
          <w:highlight w:val="yellow"/>
        </w:rPr>
        <w:t>ltima informação</w:t>
      </w:r>
      <w:r w:rsidR="0007079D" w:rsidRPr="00453E8B">
        <w:rPr>
          <w:highlight w:val="yellow"/>
        </w:rPr>
        <w:t xml:space="preserve"> oficial disponível sobre índices de sucesso data de 2005/2006</w:t>
      </w:r>
      <w:r w:rsidR="00476E24" w:rsidRPr="00453E8B">
        <w:rPr>
          <w:highlight w:val="yellow"/>
        </w:rPr>
        <w:t>.</w:t>
      </w:r>
      <w:r w:rsidR="0007079D" w:rsidRPr="00453E8B">
        <w:rPr>
          <w:highlight w:val="yellow"/>
        </w:rPr>
        <w:t xml:space="preserve"> </w:t>
      </w:r>
      <w:r w:rsidRPr="00453E8B">
        <w:rPr>
          <w:highlight w:val="yellow"/>
        </w:rPr>
        <w:t>Neste momento estamos a proceder ao cálculo interno destas taxas.</w:t>
      </w:r>
    </w:p>
    <w:p w:rsidR="00F049A4" w:rsidRDefault="00476E24" w:rsidP="00F049A4">
      <w:r w:rsidRPr="00453E8B">
        <w:rPr>
          <w:highlight w:val="yellow"/>
        </w:rPr>
        <w:t xml:space="preserve"> Informações relativas à “</w:t>
      </w:r>
      <w:proofErr w:type="spellStart"/>
      <w:r w:rsidRPr="00453E8B">
        <w:rPr>
          <w:highlight w:val="yellow"/>
        </w:rPr>
        <w:t>completion</w:t>
      </w:r>
      <w:proofErr w:type="spellEnd"/>
      <w:r w:rsidRPr="00453E8B">
        <w:rPr>
          <w:highlight w:val="yellow"/>
        </w:rPr>
        <w:t xml:space="preserve"> rate” (Fonte: OECD), definem que a taxa global de conclusão típica dos cursos de ISCED 5 (ingresso – 2003; finalização – 2008) </w:t>
      </w:r>
      <w:r w:rsidR="0007079D" w:rsidRPr="00453E8B">
        <w:rPr>
          <w:highlight w:val="yellow"/>
        </w:rPr>
        <w:t xml:space="preserve">em Portugal </w:t>
      </w:r>
      <w:r w:rsidRPr="00453E8B">
        <w:rPr>
          <w:highlight w:val="yellow"/>
        </w:rPr>
        <w:t>se situa na ordem dos 72%</w:t>
      </w:r>
      <w:r w:rsidR="0007079D" w:rsidRPr="00453E8B">
        <w:rPr>
          <w:highlight w:val="yellow"/>
        </w:rPr>
        <w:t>.</w:t>
      </w:r>
    </w:p>
    <w:p w:rsidR="00453E8B" w:rsidRPr="004F7A01" w:rsidRDefault="00453E8B" w:rsidP="00F049A4"/>
    <w:p w:rsidR="00F049A4" w:rsidRDefault="00F049A4" w:rsidP="00F049A4">
      <w:pPr>
        <w:pStyle w:val="Tit2"/>
      </w:pPr>
      <w:bookmarkStart w:id="52" w:name="_Toc290662683"/>
      <w:r w:rsidRPr="0067058E">
        <w:t xml:space="preserve">Descrição e avaliação das principais modificações </w:t>
      </w:r>
      <w:r w:rsidR="001013E6">
        <w:t xml:space="preserve">e tendências </w:t>
      </w:r>
      <w:r>
        <w:t xml:space="preserve">nos </w:t>
      </w:r>
      <w:r w:rsidR="001013E6">
        <w:t>diplomados</w:t>
      </w:r>
      <w:r>
        <w:t xml:space="preserve"> </w:t>
      </w:r>
      <w:r w:rsidR="001013E6">
        <w:t>do ensino superior</w:t>
      </w:r>
      <w:bookmarkEnd w:id="52"/>
    </w:p>
    <w:p w:rsidR="00453E8B" w:rsidRPr="00351BBD" w:rsidRDefault="00453E8B" w:rsidP="00453E8B">
      <w:r w:rsidRPr="00A45070">
        <w:rPr>
          <w:highlight w:val="yellow"/>
        </w:rPr>
        <w:t xml:space="preserve">Em redacção, dependente </w:t>
      </w:r>
      <w:proofErr w:type="gramStart"/>
      <w:r w:rsidRPr="00A45070">
        <w:rPr>
          <w:highlight w:val="yellow"/>
        </w:rPr>
        <w:t>do(s</w:t>
      </w:r>
      <w:proofErr w:type="gramEnd"/>
      <w:r w:rsidRPr="00A45070">
        <w:rPr>
          <w:highlight w:val="yellow"/>
        </w:rPr>
        <w:t>) indicador(</w:t>
      </w:r>
      <w:proofErr w:type="spellStart"/>
      <w:r w:rsidRPr="00A45070">
        <w:rPr>
          <w:highlight w:val="yellow"/>
        </w:rPr>
        <w:t>es</w:t>
      </w:r>
      <w:proofErr w:type="spellEnd"/>
      <w:r w:rsidRPr="00A45070">
        <w:rPr>
          <w:highlight w:val="yellow"/>
        </w:rPr>
        <w:t>) em falta. Será enviado em breve.</w:t>
      </w:r>
    </w:p>
    <w:p w:rsidR="00453E8B" w:rsidRPr="00453E8B" w:rsidRDefault="00453E8B" w:rsidP="00453E8B"/>
    <w:p w:rsidR="001013E6" w:rsidRDefault="001013E6" w:rsidP="00F049A4">
      <w:pPr>
        <w:pStyle w:val="Tit2"/>
      </w:pPr>
      <w:bookmarkStart w:id="53" w:name="_Toc290662684"/>
      <w:r>
        <w:t>Os diplomados e o mercado de trabalho</w:t>
      </w:r>
      <w:bookmarkEnd w:id="53"/>
    </w:p>
    <w:p w:rsidR="0007079D" w:rsidRDefault="0007079D" w:rsidP="0007079D">
      <w:r w:rsidRPr="0007079D">
        <w:t>De acordo com a Lei nº 62/2007 de 10 de Setembro, que estabelece o regime jurídico das instituições de ensino superior, mais concretamente no seu artigo 162.º, nº 2, todas as I</w:t>
      </w:r>
      <w:r>
        <w:t xml:space="preserve">nstituições de </w:t>
      </w:r>
      <w:r w:rsidRPr="0007079D">
        <w:t>E</w:t>
      </w:r>
      <w:r>
        <w:t xml:space="preserve">nsino </w:t>
      </w:r>
      <w:r w:rsidRPr="0007079D">
        <w:t>S</w:t>
      </w:r>
      <w:r>
        <w:t>uperior</w:t>
      </w:r>
      <w:r w:rsidRPr="0007079D">
        <w:t xml:space="preserve"> deverão disponibilizar informação precisa e suficiente sobre a empregabilidade dos ciclos de estudo ministrados.</w:t>
      </w:r>
    </w:p>
    <w:p w:rsidR="0007079D" w:rsidRDefault="0007079D" w:rsidP="0007079D">
      <w:r>
        <w:t xml:space="preserve">Esta medida legislativa incorporou uma mudança significativa na relação que se estabelece entre as Instituições de Ensino Superior e o mercado de trabalho. A partir de 2008 passaram a ser de publicação obrigatória e semestral </w:t>
      </w:r>
      <w:r w:rsidR="00EF28A5">
        <w:t>os dados</w:t>
      </w:r>
      <w:r>
        <w:t xml:space="preserve"> sobre a procura de emprego dos diplomados do ensino superior, que permite comparar a produção de diplomados no par estabelecimento/curso nos 10 anos anteriores com o número de desempregados i</w:t>
      </w:r>
      <w:r w:rsidR="00EF28A5">
        <w:t>nscritos nos Centros de Emprego</w:t>
      </w:r>
      <w:r w:rsidR="00A212EA">
        <w:t xml:space="preserve"> (</w:t>
      </w:r>
      <w:hyperlink r:id="rId16" w:history="1">
        <w:r w:rsidR="00A212EA" w:rsidRPr="00A212EA">
          <w:rPr>
            <w:rStyle w:val="Hyperlink"/>
          </w:rPr>
          <w:t>http://www.gpeari.mctes.pt/?idc=172&amp;idt=237</w:t>
        </w:r>
      </w:hyperlink>
      <w:r w:rsidR="00A212EA">
        <w:t>)</w:t>
      </w:r>
      <w:r w:rsidR="00EF28A5">
        <w:t>.</w:t>
      </w:r>
    </w:p>
    <w:p w:rsidR="00EF28A5" w:rsidRDefault="00EF28A5" w:rsidP="0007079D">
      <w:r>
        <w:t>Algumas iniciativas a nível local (Instituições de Ensino Superior) foram também tomadas no sentido de acompanhar a evolução da empregabilidade dos seus diplomados, nomeadamente com a constituição de estruturas de acompanhamento regular da situação dos diplomados no mercado de trabalho (Observatórios), como são o caso da Universidade do Minho, da Universidade de Aveiro e do Instituto Superior Técnico da Universidade Técnica de Lisboa. A este nível, e para avaliar variáveis como as remunerações médias, a forma de colocação, as instituições empregadoras ou o tipo de vínculo assumido com estas, apenas localmente é feita a aferição, não existindo um mecanismo ou estrutura governamental que acompanhe este tipo de indicadores à escala nacional.</w:t>
      </w:r>
    </w:p>
    <w:p w:rsidR="00EF28A5" w:rsidRDefault="00EF28A5" w:rsidP="0007079D">
      <w:r>
        <w:t>As instituições de Ensino Superior em Portugal, em regra, para além do acompanhamento regular da empregabilidade dos seus diplomados, também possuem outro tipo de estruturas que permitem ap</w:t>
      </w:r>
      <w:r w:rsidR="00A212EA">
        <w:t>oiar esta relação, nomeadamente</w:t>
      </w:r>
      <w:r>
        <w:t xml:space="preserve"> gabinetes de apoio à inserção profissional (disponibilizam acções de curta duração para ensinar as boas práticas na elaboração de currículos, na condução de entrevistas de emprego, no processo de neg</w:t>
      </w:r>
      <w:r w:rsidR="00A212EA">
        <w:t>ociação salarial, entre outras) e</w:t>
      </w:r>
      <w:r>
        <w:t xml:space="preserve"> estruturas que promovem a ligação às empresas (apoio à produção de patentes, à criação de </w:t>
      </w:r>
      <w:proofErr w:type="spellStart"/>
      <w:r>
        <w:t>start-ups</w:t>
      </w:r>
      <w:proofErr w:type="spellEnd"/>
      <w:r>
        <w:t>, promoção de apoios/concursos que financiem oportunidades de criação</w:t>
      </w:r>
      <w:r w:rsidR="00A212EA">
        <w:t xml:space="preserve"> de auto-emprego, entre outras).</w:t>
      </w:r>
    </w:p>
    <w:p w:rsidR="00A212EA" w:rsidRDefault="00A212EA" w:rsidP="0007079D">
      <w:r>
        <w:t>O RJIE</w:t>
      </w:r>
      <w:r w:rsidR="00453E8B">
        <w:t>S</w:t>
      </w:r>
      <w:r>
        <w:t xml:space="preserve"> veio também criar novos actores que promovem a ligação das instituições de ensino superior às escolas, com a introdução de um órgão estratégico que inclui a presença de membros cooptados da sociedade civil, aspecto que reforça os contributos de personalidades ligadas ao mundo laboral e empresarial no sentido de ajustar a estratégia das escolas</w:t>
      </w:r>
      <w:r w:rsidR="00453E8B">
        <w:t xml:space="preserve"> e do respectivo ensino</w:t>
      </w:r>
      <w:r>
        <w:t xml:space="preserve"> às necessidades das instituições empregadoras.</w:t>
      </w:r>
    </w:p>
    <w:p w:rsidR="00EF28A5" w:rsidRDefault="00EF28A5" w:rsidP="0007079D"/>
    <w:p w:rsidR="0007079D" w:rsidRDefault="0007079D" w:rsidP="0007079D"/>
    <w:p w:rsidR="0007079D" w:rsidRDefault="0007079D" w:rsidP="0007079D"/>
    <w:p w:rsidR="0007079D" w:rsidRDefault="0007079D" w:rsidP="0007079D"/>
    <w:p w:rsidR="0007079D" w:rsidRPr="0007079D" w:rsidRDefault="0007079D" w:rsidP="0007079D">
      <w:pPr>
        <w:sectPr w:rsidR="0007079D" w:rsidRPr="0007079D" w:rsidSect="000729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028D6" w:rsidRPr="0067058E" w:rsidRDefault="003028D6" w:rsidP="0072333B">
      <w:pPr>
        <w:pStyle w:val="Tit1"/>
      </w:pPr>
      <w:bookmarkStart w:id="54" w:name="_Toc290662685"/>
      <w:r w:rsidRPr="0067058E">
        <w:t>Governo e Gestão das Universidades</w:t>
      </w:r>
      <w:bookmarkEnd w:id="54"/>
      <w:r w:rsidRPr="0067058E">
        <w:tab/>
      </w:r>
    </w:p>
    <w:p w:rsidR="004B3D14" w:rsidRPr="004F7A01" w:rsidRDefault="003028D6" w:rsidP="004F7A01">
      <w:pPr>
        <w:pStyle w:val="Tit2"/>
      </w:pPr>
      <w:bookmarkStart w:id="55" w:name="_Toc290662686"/>
      <w:r w:rsidRPr="0067058E">
        <w:t xml:space="preserve">Breve descrição </w:t>
      </w:r>
      <w:r w:rsidR="001013E6">
        <w:t>do sistema</w:t>
      </w:r>
      <w:r w:rsidRPr="0067058E">
        <w:t xml:space="preserve"> de governo </w:t>
      </w:r>
      <w:r w:rsidR="001013E6">
        <w:t xml:space="preserve">do </w:t>
      </w:r>
      <w:r w:rsidR="00860C34">
        <w:t>ensino</w:t>
      </w:r>
      <w:r w:rsidR="00611F9D" w:rsidRPr="0067058E">
        <w:t xml:space="preserve"> superior</w:t>
      </w:r>
      <w:bookmarkEnd w:id="55"/>
    </w:p>
    <w:p w:rsidR="007F3C74" w:rsidRPr="008E72D7" w:rsidRDefault="007F3C74" w:rsidP="007F3C74">
      <w:r w:rsidRPr="008E72D7">
        <w:t>O Ministério da Ciência, Tecnologia e Ensino Superior (MCTES) é o responsável pela definição, execução e avaliação das políticas nacionais para o Ensino Superior, a Ciência e a Tecnologia.</w:t>
      </w:r>
    </w:p>
    <w:p w:rsidR="007F3C74" w:rsidRPr="008E72D7" w:rsidRDefault="007F3C74" w:rsidP="007F3C74">
      <w:r w:rsidRPr="008E72D7">
        <w:t xml:space="preserve">Este Ministério, e organizações que dele dependem, são os responsáveis pela gestão do Sistema de Ensino Superior e de Investigação e Desenvolvimento, sendo ainda responsável por definir os modos de organização, financiamento, execução e avaliação do Ensino Superior. </w:t>
      </w:r>
    </w:p>
    <w:p w:rsidR="007F3C74" w:rsidRPr="008E72D7" w:rsidRDefault="007F3C74" w:rsidP="007F3C74">
      <w:r w:rsidRPr="008E72D7">
        <w:t>Cabe também ao Ministério promover a ligação entre o Sistema de Ensino Superior e Sistema Científico e Tecnológico.</w:t>
      </w:r>
    </w:p>
    <w:p w:rsidR="007F3C74" w:rsidRPr="008E72D7" w:rsidRDefault="007F3C74" w:rsidP="007F3C74">
      <w:r w:rsidRPr="008E72D7">
        <w:t>A relação entre o MCTES e as Instituições de Ensino Superior, tem em conta a autonomia científica, pedagógica e, em alguma medida, financeira destas últimas (existem instituições que têm autonomia financeira total). Por conseguinte, o MCTES tem vários órgãos consultivos e executivos, aos quais cabe a função de conceber, executar e avaliar as políticas, de forma a facilitar e optimizar a tomada de decisão.</w:t>
      </w:r>
    </w:p>
    <w:p w:rsidR="007F3C74" w:rsidRPr="008E72D7" w:rsidRDefault="007F3C74" w:rsidP="007F3C74">
      <w:r w:rsidRPr="008E72D7">
        <w:t>A criação de Instituições de Ensino Superior depende da aprovação do Governo e do reconhecimento da sua utilidade pública, relevância científica e cultural, de forma a garantir o cumprimento dos objectivos do Ensino Superior, da qualidade do ensino e investigação.</w:t>
      </w:r>
    </w:p>
    <w:p w:rsidR="007F3C74" w:rsidRPr="008E72D7" w:rsidRDefault="007F3C74" w:rsidP="007F3C74">
      <w:r w:rsidRPr="008E72D7">
        <w:t>Algumas instituições não são tuteladas exclusivamente pelo MCTES, estando sujeitas a dupla tutela, como é o caso das Instituições Militares e Policiais. Nestes casos particulares, as funções de coordenação de cada Ministério são diferenciadas.</w:t>
      </w:r>
    </w:p>
    <w:p w:rsidR="007F3C74" w:rsidRPr="008E72D7" w:rsidRDefault="007F3C74" w:rsidP="007F3C74">
      <w:r w:rsidRPr="008E72D7">
        <w:t>A tutela do Sistema de Ensino Superior Português, ao invés do Sistema de Ensino Básico e Secundário, não possui organismos de natureza regional que superintendam as Instituições de Ensino Superior, estando centralizada no MCTES e outros Ministérios.</w:t>
      </w:r>
    </w:p>
    <w:p w:rsidR="00611F9D" w:rsidRPr="0067058E" w:rsidRDefault="00611F9D" w:rsidP="00132035">
      <w:pPr>
        <w:pStyle w:val="Tit2"/>
      </w:pPr>
      <w:bookmarkStart w:id="56" w:name="_Toc290662687"/>
      <w:r w:rsidRPr="0067058E">
        <w:t xml:space="preserve">Breve descrição </w:t>
      </w:r>
      <w:r w:rsidR="001013E6">
        <w:t xml:space="preserve">e avaliação </w:t>
      </w:r>
      <w:r w:rsidRPr="0067058E">
        <w:t xml:space="preserve">das formas de governo e gestão das </w:t>
      </w:r>
      <w:r w:rsidR="001013E6">
        <w:t>instituições de ensino superior</w:t>
      </w:r>
      <w:bookmarkEnd w:id="56"/>
    </w:p>
    <w:p w:rsidR="007F3C74" w:rsidRPr="00CB187E" w:rsidRDefault="007F3C74" w:rsidP="007F3C74">
      <w:r>
        <w:t>Os estabelecimentos de e</w:t>
      </w:r>
      <w:r w:rsidRPr="00CB187E">
        <w:t xml:space="preserve">nsino </w:t>
      </w:r>
      <w:r>
        <w:t>s</w:t>
      </w:r>
      <w:r w:rsidRPr="00CB187E">
        <w:t xml:space="preserve">uperior público gozam de autonomia estatutária, pedagógica, científica, administrativa, financeira, patrimonial e disciplinar. E os estabelecimentos </w:t>
      </w:r>
      <w:r>
        <w:t>privados</w:t>
      </w:r>
      <w:r w:rsidRPr="00CB187E">
        <w:t xml:space="preserve"> gozam de autonomia pedagógica, científica e cultural, estado abrangido pelo estatuto do Ensino Superior Particular e Cooperativo.</w:t>
      </w:r>
    </w:p>
    <w:p w:rsidR="007F3C74" w:rsidRPr="00CB187E" w:rsidRDefault="007F3C74" w:rsidP="007F3C74">
      <w:r w:rsidRPr="00CB187E">
        <w:t>As instituições de ensino superior estão organizadas com os seguintes órgãos de gestão (Lei N.º 62/2007):</w:t>
      </w:r>
    </w:p>
    <w:p w:rsidR="007F3C74" w:rsidRPr="00CB187E" w:rsidRDefault="007F3C74" w:rsidP="007F3C74">
      <w:bookmarkStart w:id="57" w:name="_Toc152564033"/>
      <w:bookmarkStart w:id="58" w:name="_Toc236219872"/>
      <w:r w:rsidRPr="00CB187E">
        <w:t xml:space="preserve">Ilustração </w:t>
      </w:r>
      <w:fldSimple w:instr=" SEQ Ilustração \* ARABIC ">
        <w:r w:rsidRPr="00CB187E">
          <w:t>12</w:t>
        </w:r>
      </w:fldSimple>
      <w:r w:rsidRPr="00CB187E">
        <w:t xml:space="preserve"> – Instituições de Ensino Superior (Órgãos de Gestão)</w:t>
      </w:r>
      <w:bookmarkEnd w:id="57"/>
      <w:bookmarkEnd w:id="58"/>
    </w:p>
    <w:tbl>
      <w:tblPr>
        <w:tblStyle w:val="TableGrid"/>
        <w:tblW w:w="8956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ook w:val="01E0" w:firstRow="1" w:lastRow="1" w:firstColumn="1" w:lastColumn="1" w:noHBand="0" w:noVBand="0"/>
      </w:tblPr>
      <w:tblGrid>
        <w:gridCol w:w="1922"/>
        <w:gridCol w:w="4503"/>
        <w:gridCol w:w="2531"/>
      </w:tblGrid>
      <w:tr w:rsidR="007F3C74" w:rsidRPr="00CB187E" w:rsidTr="007F3C74">
        <w:tc>
          <w:tcPr>
            <w:tcW w:w="1922" w:type="dxa"/>
            <w:shd w:val="clear" w:color="auto" w:fill="EAF1DD" w:themeFill="accent3" w:themeFillTint="33"/>
          </w:tcPr>
          <w:p w:rsidR="007F3C74" w:rsidRPr="00CB187E" w:rsidRDefault="007F3C74" w:rsidP="007F3C74">
            <w:pPr>
              <w:pStyle w:val="TabCab"/>
            </w:pPr>
            <w:r w:rsidRPr="00CB187E">
              <w:t>Órgão</w:t>
            </w:r>
          </w:p>
        </w:tc>
        <w:tc>
          <w:tcPr>
            <w:tcW w:w="4503" w:type="dxa"/>
            <w:shd w:val="clear" w:color="auto" w:fill="EAF1DD" w:themeFill="accent3" w:themeFillTint="33"/>
          </w:tcPr>
          <w:p w:rsidR="007F3C74" w:rsidRPr="00CB187E" w:rsidRDefault="007F3C74" w:rsidP="007F3C74">
            <w:pPr>
              <w:pStyle w:val="TabCab"/>
            </w:pPr>
            <w:r w:rsidRPr="00CB187E">
              <w:t>Funções</w:t>
            </w:r>
          </w:p>
        </w:tc>
        <w:tc>
          <w:tcPr>
            <w:tcW w:w="2531" w:type="dxa"/>
            <w:shd w:val="clear" w:color="auto" w:fill="EAF1DD" w:themeFill="accent3" w:themeFillTint="33"/>
          </w:tcPr>
          <w:p w:rsidR="007F3C74" w:rsidRPr="00CB187E" w:rsidRDefault="007F3C74" w:rsidP="007F3C74">
            <w:pPr>
              <w:pStyle w:val="TabCab"/>
            </w:pPr>
            <w:r w:rsidRPr="00CB187E">
              <w:t>Constituição</w:t>
            </w:r>
          </w:p>
        </w:tc>
      </w:tr>
      <w:tr w:rsidR="007F3C74" w:rsidRPr="00CB187E" w:rsidTr="007F3C74">
        <w:tc>
          <w:tcPr>
            <w:tcW w:w="1922" w:type="dxa"/>
          </w:tcPr>
          <w:p w:rsidR="007F3C74" w:rsidRPr="00CB187E" w:rsidRDefault="007F3C74" w:rsidP="007F3C74">
            <w:pPr>
              <w:pStyle w:val="Tabcorpo"/>
            </w:pPr>
            <w:r w:rsidRPr="00CB187E">
              <w:t>Conselho Geral</w:t>
            </w:r>
          </w:p>
        </w:tc>
        <w:tc>
          <w:tcPr>
            <w:tcW w:w="4503" w:type="dxa"/>
          </w:tcPr>
          <w:p w:rsidR="007F3C74" w:rsidRPr="00CB187E" w:rsidRDefault="007F3C74" w:rsidP="007F3C74">
            <w:pPr>
              <w:pStyle w:val="Tabcorpo"/>
            </w:pPr>
            <w:r w:rsidRPr="00CB187E">
              <w:t>Eleger o Presidente;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Aprovar o regimento;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Aprovar alterações aos estatutos;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Organizar o Procedimento de eleição e eleger o reitor ou presidente;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Apreciar os actos do reitor e do conselho de gestão;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Propor iniciativas que considere necessárias ao bom funcionamento da instituição;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Desempenhar outras quaisquer funções previstas nos estatutos ou lei.</w:t>
            </w:r>
          </w:p>
        </w:tc>
        <w:tc>
          <w:tcPr>
            <w:tcW w:w="2531" w:type="dxa"/>
          </w:tcPr>
          <w:p w:rsidR="007F3C74" w:rsidRPr="00CB187E" w:rsidRDefault="007F3C74" w:rsidP="007F3C74">
            <w:pPr>
              <w:pStyle w:val="Tabcorpo"/>
            </w:pPr>
            <w:r w:rsidRPr="00CB187E">
              <w:t>Representantes eleitos dos docentes, investigadores, estudantes.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Personalidades externas de reconhecido mérito, não pertencentes à instituição</w:t>
            </w:r>
          </w:p>
        </w:tc>
      </w:tr>
      <w:tr w:rsidR="007F3C74" w:rsidRPr="00CB187E" w:rsidTr="007F3C74">
        <w:tc>
          <w:tcPr>
            <w:tcW w:w="1922" w:type="dxa"/>
          </w:tcPr>
          <w:p w:rsidR="007F3C74" w:rsidRPr="00CB187E" w:rsidRDefault="007F3C74" w:rsidP="007F3C74">
            <w:pPr>
              <w:pStyle w:val="Tabcorpo"/>
            </w:pPr>
            <w:r w:rsidRPr="00CB187E">
              <w:t xml:space="preserve"> Reitor</w:t>
            </w:r>
            <w:r>
              <w:t xml:space="preserve"> (Universidades)</w:t>
            </w:r>
            <w:r w:rsidRPr="00CB187E">
              <w:t xml:space="preserve"> ou Presidente</w:t>
            </w:r>
            <w:r>
              <w:t xml:space="preserve"> (Politécnicos)</w:t>
            </w:r>
          </w:p>
        </w:tc>
        <w:tc>
          <w:tcPr>
            <w:tcW w:w="4503" w:type="dxa"/>
          </w:tcPr>
          <w:p w:rsidR="007F3C74" w:rsidRPr="00CB187E" w:rsidRDefault="007F3C74" w:rsidP="007F3C74">
            <w:pPr>
              <w:pStyle w:val="Tabcorpo"/>
            </w:pPr>
            <w:r w:rsidRPr="00CB187E">
              <w:t>Elaborar e apresentar ao</w:t>
            </w:r>
            <w:r>
              <w:t xml:space="preserve"> conselho geral as propostas </w:t>
            </w:r>
            <w:proofErr w:type="gramStart"/>
            <w:r>
              <w:t>de</w:t>
            </w:r>
            <w:proofErr w:type="gramEnd"/>
            <w:r>
              <w:t>: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- Plano Estratégico de médio prazo e plano de acção para o quadriénio do seu mandato;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- Linhas gerais de orientação da instituição no plano científico e pedagógico;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- Plano e relatório anuais de actividades;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- Orçamento e contas anuais consolidados, acompanhados do parecer do fiscal único;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- Aquisição ou alienação de património imobiliário da instituição, e de operações de crédito;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Criação, transformação ou extinção de unidades orgânicas;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- Propinas devidas pelos estudantes.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Aprovar a criação, suspensão e extinção de cursos;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Aprovar os valores máximos de novas admissões e de inscrições;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Superintender na gestão académica;</w:t>
            </w:r>
          </w:p>
        </w:tc>
        <w:tc>
          <w:tcPr>
            <w:tcW w:w="2531" w:type="dxa"/>
          </w:tcPr>
          <w:p w:rsidR="007F3C74" w:rsidRPr="00CB187E" w:rsidRDefault="007F3C74" w:rsidP="007F3C74">
            <w:pPr>
              <w:pStyle w:val="Tabcorpo"/>
            </w:pPr>
            <w:r w:rsidRPr="00CB187E">
              <w:t>Eleito pelo Conselho Geral</w:t>
            </w:r>
          </w:p>
        </w:tc>
      </w:tr>
      <w:tr w:rsidR="007F3C74" w:rsidRPr="00CB187E" w:rsidTr="007F3C74">
        <w:tc>
          <w:tcPr>
            <w:tcW w:w="1922" w:type="dxa"/>
          </w:tcPr>
          <w:p w:rsidR="007F3C74" w:rsidRPr="00CB187E" w:rsidRDefault="007F3C74" w:rsidP="007F3C74">
            <w:pPr>
              <w:pStyle w:val="Tabcorpo"/>
            </w:pPr>
            <w:r w:rsidRPr="00CB187E">
              <w:t>Conselho de Gestão</w:t>
            </w:r>
          </w:p>
        </w:tc>
        <w:tc>
          <w:tcPr>
            <w:tcW w:w="4503" w:type="dxa"/>
          </w:tcPr>
          <w:p w:rsidR="007F3C74" w:rsidRPr="00CB187E" w:rsidRDefault="007F3C74" w:rsidP="007F3C74">
            <w:pPr>
              <w:pStyle w:val="Tabcorpo"/>
            </w:pPr>
            <w:r w:rsidRPr="00CB187E">
              <w:t>Conduzir a gestão administrativa, patrimonial e financeira da instituição;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Gestão dos recursos humanos;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Fixar taxas e emolumentos;</w:t>
            </w:r>
          </w:p>
        </w:tc>
        <w:tc>
          <w:tcPr>
            <w:tcW w:w="2531" w:type="dxa"/>
          </w:tcPr>
          <w:p w:rsidR="007F3C74" w:rsidRPr="00CB187E" w:rsidRDefault="007F3C74" w:rsidP="007F3C74">
            <w:pPr>
              <w:pStyle w:val="Tabcorpo"/>
            </w:pPr>
            <w:r w:rsidRPr="00CB187E">
              <w:t>Presidente ou Reitor; mais 5 elementos (máximo), incluindo Vice-Reitores, Vice-Presidentes e o Administrador.</w:t>
            </w:r>
          </w:p>
          <w:p w:rsidR="007F3C74" w:rsidRPr="00CB187E" w:rsidRDefault="007F3C74" w:rsidP="007F3C74">
            <w:pPr>
              <w:pStyle w:val="Tabcorpo"/>
            </w:pPr>
            <w:r w:rsidRPr="00CB187E">
              <w:t>Podem assistir sem direito a voto os representantes do pessoal não docente, alunos, responsáveis pelos serviços da instituição e directores das unidades orgânicas.</w:t>
            </w:r>
          </w:p>
        </w:tc>
      </w:tr>
    </w:tbl>
    <w:p w:rsidR="007F3C74" w:rsidRPr="00CB187E" w:rsidRDefault="007F3C74" w:rsidP="007F3C74"/>
    <w:p w:rsidR="007F3C74" w:rsidRPr="00CB187E" w:rsidRDefault="007F3C74" w:rsidP="007F3C74">
      <w:r w:rsidRPr="00CB187E">
        <w:t>Além dos órgãos de gestão as instituições de ensino superior ao nível das escolas devem ter os seguintes órgãos:</w:t>
      </w:r>
    </w:p>
    <w:p w:rsidR="007F3C74" w:rsidRPr="00CB187E" w:rsidRDefault="007F3C74" w:rsidP="007F3C74">
      <w:pPr>
        <w:pStyle w:val="ListParagraph"/>
        <w:numPr>
          <w:ilvl w:val="0"/>
          <w:numId w:val="45"/>
        </w:numPr>
      </w:pPr>
      <w:r w:rsidRPr="00CB187E">
        <w:t>Conselho Científico e Conselho Pedagógico (Ensino Universitário)</w:t>
      </w:r>
    </w:p>
    <w:p w:rsidR="007F3C74" w:rsidRPr="00CB187E" w:rsidRDefault="007F3C74" w:rsidP="007F3C74">
      <w:pPr>
        <w:pStyle w:val="ListParagraph"/>
        <w:numPr>
          <w:ilvl w:val="0"/>
          <w:numId w:val="45"/>
        </w:numPr>
      </w:pPr>
      <w:r w:rsidRPr="00CB187E">
        <w:t>Conselho Técnico-científico e Conselho Pedagógico (Ensino Politécnico)</w:t>
      </w:r>
    </w:p>
    <w:p w:rsidR="007F3C74" w:rsidRPr="00CB187E" w:rsidRDefault="007F3C74" w:rsidP="007F3C74">
      <w:pPr>
        <w:pStyle w:val="ListParagraph"/>
        <w:numPr>
          <w:ilvl w:val="0"/>
          <w:numId w:val="45"/>
        </w:numPr>
      </w:pPr>
      <w:r w:rsidRPr="00CB187E">
        <w:t>Ao nível das Unidades Orgânicas de Investigação deverão ter um Conselho Científico.</w:t>
      </w:r>
    </w:p>
    <w:p w:rsidR="002C50E3" w:rsidRPr="00D65E8D" w:rsidRDefault="002C50E3" w:rsidP="00D65E8D"/>
    <w:p w:rsidR="002C50E3" w:rsidRPr="002C50E3" w:rsidRDefault="002C50E3" w:rsidP="002C50E3">
      <w:pPr>
        <w:spacing w:before="120" w:after="120"/>
        <w:rPr>
          <w:rFonts w:ascii="Arial" w:hAnsi="Arial" w:cs="Arial"/>
          <w:color w:val="45556A"/>
        </w:rPr>
        <w:sectPr w:rsidR="002C50E3" w:rsidRPr="002C50E3" w:rsidSect="000729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028D6" w:rsidRPr="0067058E" w:rsidRDefault="003028D6" w:rsidP="0072333B">
      <w:pPr>
        <w:pStyle w:val="Tit1"/>
      </w:pPr>
      <w:bookmarkStart w:id="59" w:name="_Toc290662688"/>
      <w:r w:rsidRPr="0067058E">
        <w:t xml:space="preserve">Financiamento do sistema de </w:t>
      </w:r>
      <w:r w:rsidR="00264636" w:rsidRPr="0067058E">
        <w:t>ensino superior</w:t>
      </w:r>
      <w:bookmarkEnd w:id="59"/>
      <w:r w:rsidRPr="0067058E">
        <w:tab/>
      </w:r>
    </w:p>
    <w:p w:rsidR="003028D6" w:rsidRPr="0067058E" w:rsidRDefault="003028D6" w:rsidP="00132035">
      <w:pPr>
        <w:pStyle w:val="Tit2"/>
      </w:pPr>
      <w:bookmarkStart w:id="60" w:name="_Toc290662689"/>
      <w:r w:rsidRPr="0067058E">
        <w:t xml:space="preserve">Breve descrição do esquema nacional de financiamento do </w:t>
      </w:r>
      <w:r w:rsidR="00264636" w:rsidRPr="0067058E">
        <w:t>ensino superior</w:t>
      </w:r>
      <w:r w:rsidRPr="0067058E">
        <w:t xml:space="preserve"> e </w:t>
      </w:r>
      <w:r w:rsidR="001013E6">
        <w:t xml:space="preserve">ID&amp;I e a </w:t>
      </w:r>
      <w:r w:rsidRPr="0067058E">
        <w:t>sua evolução recente</w:t>
      </w:r>
      <w:bookmarkEnd w:id="60"/>
    </w:p>
    <w:p w:rsidR="001C623A" w:rsidRPr="0024718A" w:rsidRDefault="001C623A" w:rsidP="001C623A">
      <w:r w:rsidRPr="0024718A">
        <w:t xml:space="preserve">O financiamento do Ensino Superior Público assenta numa relação tripartida entre: o estado e as instituições; os estudantes e as instituições; e os estudantes e o </w:t>
      </w:r>
      <w:r>
        <w:t>E</w:t>
      </w:r>
      <w:r w:rsidRPr="0024718A">
        <w:t>stado. As bases do financiamento do ensino superior estão previstas na Lei N.º 37/2003 de 22 de Agosto e que revogou a L</w:t>
      </w:r>
      <w:r>
        <w:t>ei N.º 113/97 de 16 de Setembro e foi alterada pela Lei N.º 49/2005 de 30 de Agosto e Lei n.º 62/2007, que revogou o 17º Artigo que define a competência de definição das propinas.</w:t>
      </w:r>
    </w:p>
    <w:p w:rsidR="001C623A" w:rsidRPr="0024718A" w:rsidRDefault="001C623A" w:rsidP="001C623A">
      <w:r w:rsidRPr="0024718A">
        <w:t xml:space="preserve">A relação entre o estado e as instituições públicas recai fundamentalmente na disponibilidade do </w:t>
      </w:r>
      <w:r>
        <w:t>E</w:t>
      </w:r>
      <w:r w:rsidRPr="0024718A">
        <w:t>stado, tendo como base a lei do Orçamento de Estado, em que este último compromete-se a financiar o orçamento de funcionamento de base das actividades formativas e educativas (</w:t>
      </w:r>
      <w:proofErr w:type="spellStart"/>
      <w:r w:rsidRPr="0024718A">
        <w:t>Art</w:t>
      </w:r>
      <w:proofErr w:type="spellEnd"/>
      <w:r w:rsidRPr="0024718A">
        <w:t>. 4º, Lei N.º 37/2003).</w:t>
      </w:r>
    </w:p>
    <w:p w:rsidR="001C623A" w:rsidRPr="0024718A" w:rsidRDefault="001C623A" w:rsidP="001C623A">
      <w:r>
        <w:t>O financiamento directo pelo E</w:t>
      </w:r>
      <w:r w:rsidRPr="0024718A">
        <w:t xml:space="preserve">stado está dependente dos relatórios da avaliação, das características de cada instituição, indicadores </w:t>
      </w:r>
      <w:r>
        <w:t>d</w:t>
      </w:r>
      <w:r w:rsidRPr="0024718A">
        <w:t xml:space="preserve">e excelência e critérios previamente definidos. </w:t>
      </w:r>
    </w:p>
    <w:p w:rsidR="001C623A" w:rsidRPr="0024718A" w:rsidRDefault="001C623A" w:rsidP="001C623A">
      <w:r w:rsidRPr="0024718A">
        <w:t>O orçamento de funcionamento de cada instituição pública de ensino superior é calculado segundo uma fórmula baseada em critérios de excelência e qualidade, tais como:</w:t>
      </w:r>
    </w:p>
    <w:p w:rsidR="001C623A" w:rsidRPr="00851D7F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851D7F">
        <w:t>a</w:t>
      </w:r>
      <w:proofErr w:type="gramEnd"/>
      <w:r w:rsidRPr="00851D7F">
        <w:t xml:space="preserve"> relação padrão pessoal docente/estudante;</w:t>
      </w:r>
    </w:p>
    <w:p w:rsidR="001C623A" w:rsidRPr="00851D7F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851D7F">
        <w:t>a</w:t>
      </w:r>
      <w:proofErr w:type="gramEnd"/>
      <w:r w:rsidRPr="00851D7F">
        <w:t xml:space="preserve"> relação padrão pessoal docente/pessoal não docente;</w:t>
      </w:r>
    </w:p>
    <w:p w:rsidR="001C623A" w:rsidRPr="00851D7F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851D7F">
        <w:t>incentivos</w:t>
      </w:r>
      <w:proofErr w:type="gramEnd"/>
      <w:r w:rsidRPr="00851D7F">
        <w:t xml:space="preserve"> à qualificação do pessoal docente e não docente;</w:t>
      </w:r>
    </w:p>
    <w:p w:rsidR="001C623A" w:rsidRPr="00851D7F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851D7F">
        <w:t>os</w:t>
      </w:r>
      <w:proofErr w:type="gramEnd"/>
      <w:r w:rsidRPr="00851D7F">
        <w:t xml:space="preserve"> indicadores de qualidade do pessoal docente de cada instituição;</w:t>
      </w:r>
    </w:p>
    <w:p w:rsidR="001C623A" w:rsidRPr="00851D7F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851D7F">
        <w:t>os</w:t>
      </w:r>
      <w:proofErr w:type="gramEnd"/>
      <w:r w:rsidRPr="00851D7F">
        <w:t xml:space="preserve"> indicadores de eficiência pedagógica dos cursos; </w:t>
      </w:r>
    </w:p>
    <w:p w:rsidR="001C623A" w:rsidRPr="00851D7F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851D7F">
        <w:t>os</w:t>
      </w:r>
      <w:proofErr w:type="gramEnd"/>
      <w:r w:rsidRPr="00851D7F">
        <w:t xml:space="preserve"> indicadores de eficiência científica dos cursos de mestrado e doutoramento;</w:t>
      </w:r>
    </w:p>
    <w:p w:rsidR="001C623A" w:rsidRPr="00851D7F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851D7F">
        <w:t>os</w:t>
      </w:r>
      <w:proofErr w:type="gramEnd"/>
      <w:r w:rsidRPr="00851D7F">
        <w:t xml:space="preserve"> indicadores de eficiência de gestão das instituições;</w:t>
      </w:r>
    </w:p>
    <w:p w:rsidR="001C623A" w:rsidRPr="00851D7F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851D7F">
        <w:t>a</w:t>
      </w:r>
      <w:proofErr w:type="gramEnd"/>
      <w:r w:rsidRPr="00851D7F">
        <w:t xml:space="preserve"> classificação de mérito resultante da avaliação do curso/instituição;</w:t>
      </w:r>
    </w:p>
    <w:p w:rsidR="001C623A" w:rsidRPr="00851D7F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851D7F">
        <w:t>estrutura</w:t>
      </w:r>
      <w:proofErr w:type="gramEnd"/>
      <w:r w:rsidRPr="00851D7F">
        <w:t xml:space="preserve"> orçamental, traduzida na relação entre despesas de pessoal e outras;</w:t>
      </w:r>
    </w:p>
    <w:p w:rsidR="001C623A" w:rsidRPr="00851D7F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851D7F">
        <w:t>despesas</w:t>
      </w:r>
      <w:proofErr w:type="gramEnd"/>
      <w:r w:rsidRPr="00851D7F">
        <w:t xml:space="preserve"> de funcionamento;</w:t>
      </w:r>
    </w:p>
    <w:p w:rsidR="001C623A" w:rsidRPr="00851D7F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851D7F">
        <w:t>a</w:t>
      </w:r>
      <w:proofErr w:type="gramEnd"/>
      <w:r w:rsidRPr="00851D7F">
        <w:t xml:space="preserve"> classificação de méri</w:t>
      </w:r>
      <w:r>
        <w:t>to das unidades de investigação;</w:t>
      </w:r>
    </w:p>
    <w:p w:rsidR="001C623A" w:rsidRPr="0024718A" w:rsidRDefault="001C623A" w:rsidP="001C623A">
      <w:pPr>
        <w:pStyle w:val="ListParagraph"/>
        <w:numPr>
          <w:ilvl w:val="0"/>
          <w:numId w:val="46"/>
        </w:numPr>
      </w:pPr>
      <w:proofErr w:type="gramStart"/>
      <w:r w:rsidRPr="0024718A">
        <w:t>resultados</w:t>
      </w:r>
      <w:proofErr w:type="gramEnd"/>
      <w:r w:rsidRPr="0024718A">
        <w:t xml:space="preserve"> da classificação dos cursos e da instituição, das unidades de investigação e os indicadores de eficiência pedagógica e científica dos cursos.</w:t>
      </w:r>
    </w:p>
    <w:p w:rsidR="001C623A" w:rsidRPr="0024718A" w:rsidRDefault="001C623A" w:rsidP="001C623A">
      <w:r w:rsidRPr="0024718A">
        <w:t>O Estado pode também estabelecer programas especiais de investimento das instituições, através de contratos-programa e contratos de desenvolvimento institucional.</w:t>
      </w:r>
    </w:p>
    <w:p w:rsidR="001C623A" w:rsidRPr="0024718A" w:rsidRDefault="001C623A" w:rsidP="001C623A">
      <w:r w:rsidRPr="0024718A">
        <w:t>Os contratos têm como principais objectivos:</w:t>
      </w:r>
    </w:p>
    <w:p w:rsidR="001C623A" w:rsidRPr="00851D7F" w:rsidRDefault="001C623A" w:rsidP="001C623A">
      <w:pPr>
        <w:pStyle w:val="ListParagraph"/>
        <w:numPr>
          <w:ilvl w:val="0"/>
          <w:numId w:val="47"/>
        </w:numPr>
      </w:pPr>
      <w:proofErr w:type="gramStart"/>
      <w:r w:rsidRPr="00851D7F">
        <w:t>melhoria</w:t>
      </w:r>
      <w:proofErr w:type="gramEnd"/>
      <w:r w:rsidRPr="00851D7F">
        <w:t xml:space="preserve"> da qualidade;</w:t>
      </w:r>
    </w:p>
    <w:p w:rsidR="001C623A" w:rsidRPr="00851D7F" w:rsidRDefault="001C623A" w:rsidP="001C623A">
      <w:pPr>
        <w:pStyle w:val="ListParagraph"/>
        <w:numPr>
          <w:ilvl w:val="0"/>
          <w:numId w:val="47"/>
        </w:numPr>
      </w:pPr>
      <w:proofErr w:type="gramStart"/>
      <w:r w:rsidRPr="00851D7F">
        <w:t>desenvolvimento</w:t>
      </w:r>
      <w:proofErr w:type="gramEnd"/>
      <w:r w:rsidRPr="00851D7F">
        <w:t xml:space="preserve"> curricular;</w:t>
      </w:r>
    </w:p>
    <w:p w:rsidR="001C623A" w:rsidRPr="00851D7F" w:rsidRDefault="001C623A" w:rsidP="001C623A">
      <w:pPr>
        <w:pStyle w:val="ListParagraph"/>
        <w:numPr>
          <w:ilvl w:val="0"/>
          <w:numId w:val="47"/>
        </w:numPr>
      </w:pPr>
      <w:proofErr w:type="gramStart"/>
      <w:r w:rsidRPr="00851D7F">
        <w:t>racionalização</w:t>
      </w:r>
      <w:proofErr w:type="gramEnd"/>
      <w:r w:rsidRPr="00851D7F">
        <w:t xml:space="preserve"> do sistema;</w:t>
      </w:r>
    </w:p>
    <w:p w:rsidR="001C623A" w:rsidRPr="00851D7F" w:rsidRDefault="001C623A" w:rsidP="001C623A">
      <w:pPr>
        <w:pStyle w:val="ListParagraph"/>
        <w:numPr>
          <w:ilvl w:val="0"/>
          <w:numId w:val="47"/>
        </w:numPr>
      </w:pPr>
      <w:proofErr w:type="gramStart"/>
      <w:r w:rsidRPr="00851D7F">
        <w:t>reforço</w:t>
      </w:r>
      <w:proofErr w:type="gramEnd"/>
      <w:r w:rsidRPr="00851D7F">
        <w:t xml:space="preserve"> e manutenção de infra-estruturas e equipamentos;</w:t>
      </w:r>
    </w:p>
    <w:p w:rsidR="001C623A" w:rsidRPr="00851D7F" w:rsidRDefault="001C623A" w:rsidP="001C623A">
      <w:pPr>
        <w:pStyle w:val="ListParagraph"/>
        <w:numPr>
          <w:ilvl w:val="0"/>
          <w:numId w:val="47"/>
        </w:numPr>
      </w:pPr>
      <w:proofErr w:type="gramStart"/>
      <w:r w:rsidRPr="00851D7F">
        <w:t>financiamento</w:t>
      </w:r>
      <w:proofErr w:type="gramEnd"/>
      <w:r w:rsidRPr="00851D7F">
        <w:t xml:space="preserve"> complementar de estabelecimentos e organismos com reconhecido impacte histórico, social ou cultural;</w:t>
      </w:r>
    </w:p>
    <w:p w:rsidR="001C623A" w:rsidRPr="00851D7F" w:rsidRDefault="001C623A" w:rsidP="001C623A">
      <w:pPr>
        <w:pStyle w:val="ListParagraph"/>
        <w:numPr>
          <w:ilvl w:val="0"/>
          <w:numId w:val="47"/>
        </w:numPr>
      </w:pPr>
      <w:proofErr w:type="gramStart"/>
      <w:r w:rsidRPr="00851D7F">
        <w:t>modernização</w:t>
      </w:r>
      <w:proofErr w:type="gramEnd"/>
      <w:r w:rsidRPr="00851D7F">
        <w:t xml:space="preserve"> da administração e da gestão das instituições;</w:t>
      </w:r>
    </w:p>
    <w:p w:rsidR="001C623A" w:rsidRPr="00851D7F" w:rsidRDefault="001C623A" w:rsidP="001C623A">
      <w:pPr>
        <w:pStyle w:val="ListParagraph"/>
        <w:numPr>
          <w:ilvl w:val="0"/>
          <w:numId w:val="47"/>
        </w:numPr>
      </w:pPr>
      <w:proofErr w:type="gramStart"/>
      <w:r w:rsidRPr="00851D7F">
        <w:t>parcerias</w:t>
      </w:r>
      <w:proofErr w:type="gramEnd"/>
      <w:r w:rsidRPr="00851D7F">
        <w:t xml:space="preserve"> entre as instituições de ensino superior, entre estas e as instituições de ensino secundário e entre aquelas e outras entidades públicas ou privadas.</w:t>
      </w:r>
    </w:p>
    <w:p w:rsidR="001C623A" w:rsidRPr="0024718A" w:rsidRDefault="001C623A" w:rsidP="001C623A">
      <w:r w:rsidRPr="0024718A">
        <w:t>Os contratos-programa têm uma duração máxima de 5 anos</w:t>
      </w:r>
      <w:r>
        <w:t xml:space="preserve"> e </w:t>
      </w:r>
      <w:r w:rsidRPr="0024718A">
        <w:t xml:space="preserve">têm de ser co-financiados pela instituição em 20%, </w:t>
      </w:r>
      <w:r>
        <w:t>assentando</w:t>
      </w:r>
      <w:r w:rsidRPr="0024718A">
        <w:t xml:space="preserve"> fundamentalmente no desenvolvimento das condições pedagógicas e científicas da instituição, tais como a qualificação do pessoal docente, a promoção da investigação e do sucesso escolar, a criação de cursos em áreas prioritárias e encerramento de cursos não prioritários (ou desajustados às necessidades do mercado), entre outras. </w:t>
      </w:r>
    </w:p>
    <w:p w:rsidR="001C623A" w:rsidRPr="0024718A" w:rsidRDefault="001C623A" w:rsidP="001C623A">
      <w:r w:rsidRPr="0024718A">
        <w:t>No caso de contratos de desenvolvimento institucional, estes possuem uma duração mínima de 5 anos e têm como principal objectivo o desenvolvimento institucional a médio prazo, estando fundamentalmente ligados a investimentos ao nível das infra-estruturas e equipamentos.</w:t>
      </w:r>
    </w:p>
    <w:p w:rsidR="001C623A" w:rsidRPr="0024718A" w:rsidRDefault="001C623A" w:rsidP="001C623A">
      <w:r w:rsidRPr="0024718A">
        <w:t>No que concerne à relação entre a instituição e os estudantes, esta formaliza-se, em traços largos, através do pagamento por propinas (taxa de frequência). As receitas que emanam das propinas são receitas próprias da instituição e revertem para o acréscimo de qualidade do Sistema.</w:t>
      </w:r>
    </w:p>
    <w:p w:rsidR="001C623A" w:rsidRDefault="001C623A" w:rsidP="001C623A">
      <w:r w:rsidRPr="0024718A">
        <w:t>Cada instituição</w:t>
      </w:r>
      <w:proofErr w:type="gramStart"/>
      <w:r w:rsidRPr="0024718A">
        <w:t>,</w:t>
      </w:r>
      <w:proofErr w:type="gramEnd"/>
      <w:r w:rsidRPr="0024718A">
        <w:t xml:space="preserve"> pode ainda candidatar-se a vários fundos e projectos</w:t>
      </w:r>
      <w:r>
        <w:t>, como projectos europeus,</w:t>
      </w:r>
      <w:r w:rsidRPr="0024718A">
        <w:t xml:space="preserve"> que auxiliam a financiar as suas ac</w:t>
      </w:r>
      <w:r>
        <w:t>tividades de ID&amp;I, entre outras.</w:t>
      </w:r>
    </w:p>
    <w:p w:rsidR="001C623A" w:rsidRDefault="001C623A" w:rsidP="001C623A">
      <w:r>
        <w:t xml:space="preserve">O Financiamento da ID&amp;I fortemente apoiado pelo estado, através de programas como o </w:t>
      </w:r>
      <w:r w:rsidRPr="00ED290B">
        <w:t>Programa Operacional Ciência, Tecnologia, Inovação (POCTI)</w:t>
      </w:r>
      <w:r>
        <w:t xml:space="preserve"> e o </w:t>
      </w:r>
      <w:r w:rsidRPr="00ED290B">
        <w:t>e do Programa Operacional Sociedade da Informação (POSI)</w:t>
      </w:r>
      <w:r>
        <w:t>, e ao nível do financiamento plurianual e de projectos das unidades de ID&amp;I através da FCT – Fundação para a Ciência e Tecnologia. Estas unidades estão em grande parte associadas a instituições de ensino superior. As unidades de investigação podem ser Laboratórios de Estado (11), Laboratórios Associados (25) ou Centros de Investigação Científica (378), estas instituições estão regulamentadas pelo</w:t>
      </w:r>
      <w:r w:rsidRPr="002D0BF0">
        <w:t xml:space="preserve"> Regime Jurídico das Instituições de Investigação (Decreto-Lei 125/99) que inclui dois importantes diplomas para a reforma e o reforço das instituições de investigação científica e tecnológica: o Estatuto do Bolseiro de Investigação Científica (Decreto-lei 123/99) e o Estatuto da Carreira de Investigação Científica (Decreto-lei 124/99).</w:t>
      </w:r>
    </w:p>
    <w:p w:rsidR="001C623A" w:rsidRDefault="001C623A" w:rsidP="001C623A">
      <w:r>
        <w:t>Estas unidades são também financiadas através de fundos europeus e empresas, fundamentalmente através dos projectos que desenvolvem.</w:t>
      </w:r>
    </w:p>
    <w:p w:rsidR="001C623A" w:rsidRDefault="001C623A" w:rsidP="001C623A">
      <w:r>
        <w:t>O regime de bolsas de estudo está regulamentado através do Regulamento de Atribuição de Bolsas de Estudo a Estudantes do Ensino Superior (</w:t>
      </w:r>
      <w:r w:rsidRPr="00A71233">
        <w:t>Despacho n.º 14474/2010</w:t>
      </w:r>
      <w:r>
        <w:t xml:space="preserve">) e regulamenta o financiamento dos estudantes de licenciatura e mestrado (1º e 2º ciclo), sendo que os estudantes de doutoramento são abrangidos pela </w:t>
      </w:r>
      <w:r w:rsidRPr="000F5449">
        <w:t>Lei nº 40/2004,</w:t>
      </w:r>
      <w:r>
        <w:t xml:space="preserve"> o regime jurídico dos bolseiros de investigação. Para se candidatarem a bolsas de estudo é necessário cumprir os requisitos base (Decreto -Lei n.º 129/93) e cumprirem as regras de aproveitamento escolar, cumprir pelo menos 50% dos créditos ECTS do ano anterior.</w:t>
      </w:r>
    </w:p>
    <w:p w:rsidR="003028D6" w:rsidRDefault="001013E6" w:rsidP="00132035">
      <w:pPr>
        <w:pStyle w:val="Tit2"/>
      </w:pPr>
      <w:bookmarkStart w:id="61" w:name="_Toc290662690"/>
      <w:r>
        <w:t>Despesa anual, pública e privada no ensino superior em % do PIB</w:t>
      </w:r>
      <w:bookmarkEnd w:id="61"/>
    </w:p>
    <w:p w:rsidR="00453E8B" w:rsidRPr="00351BBD" w:rsidRDefault="00453E8B" w:rsidP="00453E8B">
      <w:r w:rsidRPr="00174E3C">
        <w:rPr>
          <w:highlight w:val="yellow"/>
        </w:rPr>
        <w:t>Indicador em falta</w:t>
      </w:r>
      <w:r>
        <w:t>.</w:t>
      </w:r>
    </w:p>
    <w:p w:rsidR="003028D6" w:rsidRPr="0067058E" w:rsidRDefault="003028D6" w:rsidP="00132035">
      <w:pPr>
        <w:pStyle w:val="Tit2"/>
      </w:pPr>
      <w:bookmarkStart w:id="62" w:name="_Toc290662691"/>
      <w:r w:rsidRPr="0067058E">
        <w:t>Modalidades de atribuição dos recur</w:t>
      </w:r>
      <w:r w:rsidR="00FC3383" w:rsidRPr="0067058E">
        <w:t xml:space="preserve">sos públicos às </w:t>
      </w:r>
      <w:r w:rsidR="002E5469">
        <w:t>instituições</w:t>
      </w:r>
      <w:r w:rsidR="00FC3383" w:rsidRPr="0067058E">
        <w:t xml:space="preserve"> </w:t>
      </w:r>
      <w:r w:rsidR="002E5469">
        <w:t xml:space="preserve">de ensino superior </w:t>
      </w:r>
      <w:r w:rsidR="00FC3383" w:rsidRPr="0067058E">
        <w:t>pú</w:t>
      </w:r>
      <w:r w:rsidRPr="0067058E">
        <w:t>blicas</w:t>
      </w:r>
      <w:bookmarkEnd w:id="62"/>
    </w:p>
    <w:p w:rsidR="001C623A" w:rsidRPr="0024718A" w:rsidRDefault="001C623A" w:rsidP="001C623A">
      <w:r w:rsidRPr="0024718A">
        <w:t>O financiamento público de instituições públicas pode ser feito de várias formas previstas na lei (Lei N.º 37/2003 de 22 de Agosto</w:t>
      </w:r>
      <w:r>
        <w:t xml:space="preserve"> alterada pela lei n.º 49/2008</w:t>
      </w:r>
      <w:r w:rsidRPr="0024718A">
        <w:t>). Estas formas enquadram-se no Financiamento Directo e estão previstas no Orçamento de Estado (na quota atribuída ao funcionamento das instituições) e através de Programas Orçamentais Plurianuais.</w:t>
      </w:r>
      <w:r>
        <w:t xml:space="preserve"> </w:t>
      </w:r>
      <w:r w:rsidRPr="0024718A">
        <w:t xml:space="preserve">Esta tipologia contratual pode ser traduzida em Contratos-Programa (duração até 5 anos) ou em Contratos de </w:t>
      </w:r>
      <w:r>
        <w:t>Desenvolvimento Institucional (d</w:t>
      </w:r>
      <w:r w:rsidRPr="0024718A">
        <w:t xml:space="preserve">uração mínima de 5 anos). </w:t>
      </w:r>
      <w:r w:rsidRPr="000233F1">
        <w:rPr>
          <w:highlight w:val="yellow"/>
        </w:rPr>
        <w:t>Cf. Capítulo anterior</w:t>
      </w:r>
      <w:r>
        <w:t>.</w:t>
      </w:r>
    </w:p>
    <w:p w:rsidR="001C623A" w:rsidRPr="0024718A" w:rsidRDefault="001C623A" w:rsidP="001C623A">
      <w:r w:rsidRPr="0024718A">
        <w:t>O financiamento das instituições de ensino superior públicas parte dos princípios da equidade e democraticidade, estando previsto, em Orçamento de Estado, para todas as instituições públicas. Em casos particulares de não cumprimento dos padrões de qualidade e eficácia pedagógica e científica, o financiamento directo dessas instituições pode ser reduzido.</w:t>
      </w:r>
    </w:p>
    <w:p w:rsidR="001C623A" w:rsidRDefault="001C623A" w:rsidP="001C623A">
      <w:r w:rsidRPr="0024718A">
        <w:t>Podem também as instituições procurar financiar algumas actividades através de candidatura a programas do governo associados à modernização da função pública, I&amp;D e melhoria da qualidade.</w:t>
      </w:r>
    </w:p>
    <w:p w:rsidR="003028D6" w:rsidRPr="0067058E" w:rsidRDefault="00B55FFC" w:rsidP="00132035">
      <w:pPr>
        <w:pStyle w:val="Tit2"/>
      </w:pPr>
      <w:bookmarkStart w:id="63" w:name="_Toc290662692"/>
      <w:r w:rsidRPr="0067058E">
        <w:t>Descrição e q</w:t>
      </w:r>
      <w:r w:rsidR="003028D6" w:rsidRPr="0067058E">
        <w:t>uantificação de outras fontes de fi</w:t>
      </w:r>
      <w:r w:rsidR="00FC3383" w:rsidRPr="0067058E">
        <w:t>nanciamento das universidades pú</w:t>
      </w:r>
      <w:r w:rsidR="003028D6" w:rsidRPr="0067058E">
        <w:t>blicas</w:t>
      </w:r>
      <w:bookmarkEnd w:id="63"/>
    </w:p>
    <w:p w:rsidR="00453E8B" w:rsidRPr="00351BBD" w:rsidRDefault="00453E8B" w:rsidP="00453E8B">
      <w:r w:rsidRPr="00174E3C">
        <w:rPr>
          <w:highlight w:val="yellow"/>
        </w:rPr>
        <w:t>Indicador em falta</w:t>
      </w:r>
      <w:r>
        <w:t>.</w:t>
      </w:r>
    </w:p>
    <w:p w:rsidR="001013E6" w:rsidRDefault="001013E6" w:rsidP="001013E6">
      <w:pPr>
        <w:pStyle w:val="Tit2"/>
      </w:pPr>
      <w:bookmarkStart w:id="64" w:name="_Toc290662693"/>
      <w:r>
        <w:t>Esquemas de financiamento de Bolsas e créditos estudantis</w:t>
      </w:r>
      <w:bookmarkEnd w:id="64"/>
    </w:p>
    <w:p w:rsidR="005F5335" w:rsidRPr="006764CC" w:rsidRDefault="005F5335" w:rsidP="005F5335">
      <w:r w:rsidRPr="006764CC">
        <w:t>A política de acção social escolar atribui condições e competências aos Serviços de Acção Social dos estabelecimentos do Ensino Superior (Universitário e Politécnico). Estes podem conceder apoios sociais directos (bolsas</w:t>
      </w:r>
      <w:r>
        <w:t xml:space="preserve"> e fundos de emergência</w:t>
      </w:r>
      <w:r w:rsidRPr="006764CC">
        <w:t>) aos estudantes socialmente desfavorecidos, deslocados ou portadores de deficiência e indirectos (serviço</w:t>
      </w:r>
      <w:r>
        <w:t>s</w:t>
      </w:r>
      <w:r w:rsidRPr="006764CC">
        <w:t xml:space="preserve"> de alojamento, refeições, saúde</w:t>
      </w:r>
      <w:r>
        <w:t xml:space="preserve"> e</w:t>
      </w:r>
      <w:r w:rsidRPr="006764CC">
        <w:t xml:space="preserve"> apoio a actividades culturais e desportivas) a todos os estudantes (Despacho n.º 14474/2010). </w:t>
      </w:r>
    </w:p>
    <w:p w:rsidR="005F5335" w:rsidRPr="006764CC" w:rsidRDefault="005F5335" w:rsidP="005F5335">
      <w:r w:rsidRPr="006764CC">
        <w:t>As bolsas de estudo são atribuídas por ano lectivo, até ao máximo de 10 meses, aos estudantes economicamente carenciados (com rendimento mensal do agregado familiar inferior a 1,2 x RMMG – Retribuição Mínima Mensal Garantida) ou portadores de deficiência e com aproveitamento escolar (pelo menos 50% dos créditos do ano anterior). Podem também ser atribuídos complementos relacionados com os estudantes deslocados da sua residência ou com necessidade de recorrer a transporte público para se deslocar para a mesma.</w:t>
      </w:r>
    </w:p>
    <w:p w:rsidR="005F5335" w:rsidRPr="005F5335" w:rsidRDefault="005F5335" w:rsidP="005F5335">
      <w:r>
        <w:t>Algumas instituições privadas atribuem bolsas e ajudas, tendo regras próprias não regulamentadas pelo governo.</w:t>
      </w:r>
    </w:p>
    <w:p w:rsidR="001013E6" w:rsidRDefault="001013E6" w:rsidP="001013E6">
      <w:pPr>
        <w:pStyle w:val="Tit2"/>
      </w:pPr>
      <w:bookmarkStart w:id="65" w:name="_Toc290662694"/>
      <w:r w:rsidRPr="0067058E">
        <w:t xml:space="preserve">Modificações recentes nas modalidades de financiamento das </w:t>
      </w:r>
      <w:r>
        <w:t>Instituições de Ensino Superior</w:t>
      </w:r>
      <w:bookmarkEnd w:id="65"/>
    </w:p>
    <w:p w:rsidR="005F5335" w:rsidRDefault="005F5335" w:rsidP="005F5335">
      <w:r>
        <w:t>Desde 2005 que a lei de bases do financiamento do ensino superior não sofre alterações, exceptuando a revogação do Artigo 17º da Lei n.º37/2003, referente à competência de fixação de propinas que foi revogado pela Lei nº 62/2007 de 10 de Setembro, definindo a partir dessa data que a competência para definição das propinas nas instituições públicas cabe ao conselho geral.</w:t>
      </w:r>
    </w:p>
    <w:p w:rsidR="003028D6" w:rsidRPr="0067058E" w:rsidRDefault="00FC3383" w:rsidP="00132035">
      <w:pPr>
        <w:pStyle w:val="Tit2"/>
      </w:pPr>
      <w:bookmarkStart w:id="66" w:name="_Toc290662695"/>
      <w:r w:rsidRPr="0067058E">
        <w:t>Financiamento pú</w:t>
      </w:r>
      <w:r w:rsidR="001B0E35">
        <w:t xml:space="preserve">blico de instituições de ensino superior </w:t>
      </w:r>
      <w:r w:rsidR="003028D6" w:rsidRPr="0067058E">
        <w:t>privadas</w:t>
      </w:r>
      <w:bookmarkEnd w:id="66"/>
    </w:p>
    <w:p w:rsidR="005F5335" w:rsidRDefault="005F5335" w:rsidP="005F5335">
      <w:r>
        <w:t>O financiamento público das instituições privadas é regulado pela mesma legislação que o ensino público (</w:t>
      </w:r>
      <w:r w:rsidRPr="0024718A">
        <w:t xml:space="preserve">Lei N.º 37/2003 </w:t>
      </w:r>
      <w:r>
        <w:t>e Lei N.º 49/2005).</w:t>
      </w:r>
    </w:p>
    <w:p w:rsidR="005F5335" w:rsidRPr="0024718A" w:rsidRDefault="005F5335" w:rsidP="005F5335">
      <w:r>
        <w:t>O</w:t>
      </w:r>
      <w:r w:rsidRPr="0024718A">
        <w:t xml:space="preserve"> Estado </w:t>
      </w:r>
      <w:r>
        <w:t>pode financiar</w:t>
      </w:r>
      <w:r w:rsidRPr="0024718A">
        <w:t xml:space="preserve"> as iniciativas das instituições </w:t>
      </w:r>
      <w:r>
        <w:t>privadas</w:t>
      </w:r>
      <w:r w:rsidRPr="0024718A">
        <w:t xml:space="preserve"> quando, no desempenho efectivo d</w:t>
      </w:r>
      <w:r>
        <w:t>as suas funções previamente reconhecidas como</w:t>
      </w:r>
      <w:r w:rsidRPr="0024718A">
        <w:t xml:space="preserve"> de interesse público, estejam integradas no plano de desenvolvimento educativo</w:t>
      </w:r>
      <w:r>
        <w:t>,</w:t>
      </w:r>
      <w:r w:rsidRPr="0024718A">
        <w:t xml:space="preserve"> compromete</w:t>
      </w:r>
      <w:r>
        <w:t>ndo</w:t>
      </w:r>
      <w:r w:rsidRPr="0024718A">
        <w:t>-se a fiscalizar a aplicação das verbas concedidas verificando se os objectivos são cumpridos.</w:t>
      </w:r>
    </w:p>
    <w:p w:rsidR="005F5335" w:rsidRDefault="005F5335" w:rsidP="005F5335">
      <w:r w:rsidRPr="0024718A">
        <w:t>O estado poderá conceder financiamento</w:t>
      </w:r>
      <w:r>
        <w:t xml:space="preserve"> às instituições através de contrato para cumprimento de programas de </w:t>
      </w:r>
      <w:r w:rsidRPr="0024718A">
        <w:t>qualificação dos docentes, apoios à investigação, incentivos ao investimento e apoio a projectos prioritários em áreas rel</w:t>
      </w:r>
      <w:r>
        <w:t>evantes social e economicamente, por exemplo:</w:t>
      </w:r>
    </w:p>
    <w:p w:rsidR="005F5335" w:rsidRPr="00B20565" w:rsidRDefault="005F5335" w:rsidP="005F5335">
      <w:pPr>
        <w:pStyle w:val="ListParagraph"/>
        <w:numPr>
          <w:ilvl w:val="0"/>
          <w:numId w:val="48"/>
        </w:numPr>
      </w:pPr>
      <w:proofErr w:type="gramStart"/>
      <w:r w:rsidRPr="00B20565">
        <w:t>apoio</w:t>
      </w:r>
      <w:proofErr w:type="gramEnd"/>
      <w:r w:rsidRPr="00B20565">
        <w:t xml:space="preserve"> a projectos e cursos de grande qualidade, em áreas prioritárias e com reconhecido interesse público;</w:t>
      </w:r>
    </w:p>
    <w:p w:rsidR="005F5335" w:rsidRPr="00B20565" w:rsidRDefault="005F5335" w:rsidP="005F5335">
      <w:pPr>
        <w:pStyle w:val="ListParagraph"/>
        <w:numPr>
          <w:ilvl w:val="0"/>
          <w:numId w:val="48"/>
        </w:numPr>
      </w:pPr>
      <w:proofErr w:type="gramStart"/>
      <w:r w:rsidRPr="00B20565">
        <w:t>apoio</w:t>
      </w:r>
      <w:proofErr w:type="gramEnd"/>
      <w:r w:rsidRPr="00B20565">
        <w:t xml:space="preserve"> à acção social dos estudantes;</w:t>
      </w:r>
    </w:p>
    <w:p w:rsidR="005F5335" w:rsidRPr="00B20565" w:rsidRDefault="005F5335" w:rsidP="005F5335">
      <w:pPr>
        <w:pStyle w:val="ListParagraph"/>
        <w:numPr>
          <w:ilvl w:val="0"/>
          <w:numId w:val="48"/>
        </w:numPr>
      </w:pPr>
      <w:proofErr w:type="gramStart"/>
      <w:r w:rsidRPr="00B20565">
        <w:t>apoio</w:t>
      </w:r>
      <w:proofErr w:type="gramEnd"/>
      <w:r w:rsidRPr="00B20565">
        <w:t xml:space="preserve"> na formação de docentes;</w:t>
      </w:r>
    </w:p>
    <w:p w:rsidR="005F5335" w:rsidRPr="00B20565" w:rsidRDefault="005F5335" w:rsidP="005F5335">
      <w:pPr>
        <w:pStyle w:val="ListParagraph"/>
        <w:numPr>
          <w:ilvl w:val="0"/>
          <w:numId w:val="48"/>
        </w:numPr>
      </w:pPr>
      <w:proofErr w:type="gramStart"/>
      <w:r w:rsidRPr="00B20565">
        <w:t>incentivos</w:t>
      </w:r>
      <w:proofErr w:type="gramEnd"/>
      <w:r w:rsidRPr="00B20565">
        <w:t xml:space="preserve"> ao investimento;</w:t>
      </w:r>
    </w:p>
    <w:p w:rsidR="005F5335" w:rsidRPr="00B20565" w:rsidRDefault="005F5335" w:rsidP="005F5335">
      <w:pPr>
        <w:pStyle w:val="ListParagraph"/>
        <w:numPr>
          <w:ilvl w:val="0"/>
          <w:numId w:val="48"/>
        </w:numPr>
      </w:pPr>
      <w:proofErr w:type="gramStart"/>
      <w:r w:rsidRPr="00B20565">
        <w:t>apoio</w:t>
      </w:r>
      <w:proofErr w:type="gramEnd"/>
      <w:r w:rsidRPr="00B20565">
        <w:t xml:space="preserve"> à investigação;</w:t>
      </w:r>
    </w:p>
    <w:p w:rsidR="005F5335" w:rsidRDefault="005F5335" w:rsidP="005F5335">
      <w:pPr>
        <w:pStyle w:val="ListParagraph"/>
        <w:numPr>
          <w:ilvl w:val="0"/>
          <w:numId w:val="48"/>
        </w:numPr>
      </w:pPr>
      <w:proofErr w:type="gramStart"/>
      <w:r w:rsidRPr="00B20565">
        <w:t>bolsas</w:t>
      </w:r>
      <w:proofErr w:type="gramEnd"/>
      <w:r w:rsidRPr="00B20565">
        <w:t xml:space="preserve"> de mérito a estuda</w:t>
      </w:r>
      <w:r>
        <w:t>ntes com desempenho excepcional.</w:t>
      </w:r>
    </w:p>
    <w:p w:rsidR="00611F9D" w:rsidRDefault="00611F9D" w:rsidP="00132035">
      <w:pPr>
        <w:pStyle w:val="Tit2"/>
      </w:pPr>
      <w:bookmarkStart w:id="67" w:name="_Toc290662696"/>
      <w:r w:rsidRPr="0067058E">
        <w:t>Análise das tendências e evolução dos modelos de financiamento do ensino superior.</w:t>
      </w:r>
      <w:bookmarkEnd w:id="67"/>
    </w:p>
    <w:p w:rsidR="003028D6" w:rsidRDefault="003028D6" w:rsidP="00DF6CD3"/>
    <w:p w:rsidR="00453E8B" w:rsidRPr="00351BBD" w:rsidRDefault="00453E8B" w:rsidP="00453E8B">
      <w:r w:rsidRPr="00A45070">
        <w:rPr>
          <w:highlight w:val="yellow"/>
        </w:rPr>
        <w:t xml:space="preserve">Em redacção, dependente </w:t>
      </w:r>
      <w:proofErr w:type="gramStart"/>
      <w:r w:rsidRPr="00A45070">
        <w:rPr>
          <w:highlight w:val="yellow"/>
        </w:rPr>
        <w:t>do(s</w:t>
      </w:r>
      <w:proofErr w:type="gramEnd"/>
      <w:r w:rsidRPr="00A45070">
        <w:rPr>
          <w:highlight w:val="yellow"/>
        </w:rPr>
        <w:t>) indicador(</w:t>
      </w:r>
      <w:proofErr w:type="spellStart"/>
      <w:r w:rsidRPr="00A45070">
        <w:rPr>
          <w:highlight w:val="yellow"/>
        </w:rPr>
        <w:t>es</w:t>
      </w:r>
      <w:proofErr w:type="spellEnd"/>
      <w:r w:rsidRPr="00A45070">
        <w:rPr>
          <w:highlight w:val="yellow"/>
        </w:rPr>
        <w:t>) em falta. Será enviado em breve.</w:t>
      </w:r>
    </w:p>
    <w:p w:rsidR="00453E8B" w:rsidRPr="0067058E" w:rsidRDefault="00453E8B" w:rsidP="00DF6CD3">
      <w:pPr>
        <w:sectPr w:rsidR="00453E8B" w:rsidRPr="0067058E" w:rsidSect="000729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028D6" w:rsidRDefault="003028D6" w:rsidP="0072333B">
      <w:pPr>
        <w:pStyle w:val="Tit1"/>
      </w:pPr>
      <w:bookmarkStart w:id="68" w:name="_Toc290662697"/>
      <w:r w:rsidRPr="0067058E">
        <w:t xml:space="preserve">Síntese </w:t>
      </w:r>
      <w:r w:rsidR="009E0454" w:rsidRPr="0067058E">
        <w:t>geral</w:t>
      </w:r>
      <w:bookmarkEnd w:id="68"/>
    </w:p>
    <w:p w:rsidR="002D5CBF" w:rsidRPr="00DF6CD3" w:rsidRDefault="002D5CBF" w:rsidP="00DF6CD3"/>
    <w:p w:rsidR="00453E8B" w:rsidRPr="00351BBD" w:rsidRDefault="00453E8B" w:rsidP="00453E8B">
      <w:r w:rsidRPr="00A45070">
        <w:rPr>
          <w:highlight w:val="yellow"/>
        </w:rPr>
        <w:t xml:space="preserve">Em redacção, dependente </w:t>
      </w:r>
      <w:proofErr w:type="gramStart"/>
      <w:r w:rsidRPr="00A45070">
        <w:rPr>
          <w:highlight w:val="yellow"/>
        </w:rPr>
        <w:t>do(s</w:t>
      </w:r>
      <w:proofErr w:type="gramEnd"/>
      <w:r w:rsidRPr="00A45070">
        <w:rPr>
          <w:highlight w:val="yellow"/>
        </w:rPr>
        <w:t>) indicador(</w:t>
      </w:r>
      <w:proofErr w:type="spellStart"/>
      <w:r w:rsidRPr="00A45070">
        <w:rPr>
          <w:highlight w:val="yellow"/>
        </w:rPr>
        <w:t>es</w:t>
      </w:r>
      <w:proofErr w:type="spellEnd"/>
      <w:r w:rsidRPr="00A45070">
        <w:rPr>
          <w:highlight w:val="yellow"/>
        </w:rPr>
        <w:t>) em falta. Será enviado em breve.</w:t>
      </w:r>
    </w:p>
    <w:p w:rsidR="00AD5A84" w:rsidRPr="00AD5A84" w:rsidRDefault="00AD5A84" w:rsidP="00AD5A84">
      <w:pPr>
        <w:sectPr w:rsidR="00AD5A84" w:rsidRPr="00AD5A84" w:rsidSect="0007294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028D6" w:rsidRDefault="003028D6" w:rsidP="0072333B">
      <w:pPr>
        <w:pStyle w:val="Tit1"/>
      </w:pPr>
      <w:bookmarkStart w:id="69" w:name="_Toc290662698"/>
      <w:r w:rsidRPr="0067058E">
        <w:t>BIBLIOGRAFIA</w:t>
      </w:r>
      <w:bookmarkEnd w:id="69"/>
    </w:p>
    <w:p w:rsidR="00E812D2" w:rsidRPr="00E812D2" w:rsidRDefault="00E812D2" w:rsidP="00E812D2"/>
    <w:p w:rsidR="00D91009" w:rsidRPr="00D91009" w:rsidRDefault="00D91009" w:rsidP="00D91009">
      <w:pPr>
        <w:ind w:left="709" w:hanging="709"/>
      </w:pPr>
      <w:r w:rsidRPr="00D91009">
        <w:t xml:space="preserve">CONCEIÇÃO, Pedro, DURÃO, Diamantino, HEITOR, Manuel &amp; SANTOS, Filipe (1998) Novas </w:t>
      </w:r>
      <w:proofErr w:type="spellStart"/>
      <w:r w:rsidRPr="00D91009">
        <w:t>Ideiais</w:t>
      </w:r>
      <w:proofErr w:type="spellEnd"/>
      <w:r w:rsidRPr="00D91009">
        <w:t xml:space="preserve"> Para a Universidade, Lisboa: IST </w:t>
      </w:r>
      <w:proofErr w:type="spellStart"/>
      <w:r w:rsidRPr="00D91009">
        <w:t>Press</w:t>
      </w:r>
      <w:proofErr w:type="spellEnd"/>
      <w:r w:rsidRPr="00D91009">
        <w:t>.</w:t>
      </w:r>
    </w:p>
    <w:p w:rsidR="00D91009" w:rsidRPr="00D91009" w:rsidRDefault="00D91009" w:rsidP="00D91009">
      <w:pPr>
        <w:ind w:left="709" w:hanging="709"/>
      </w:pPr>
      <w:r w:rsidRPr="00D91009">
        <w:t xml:space="preserve">DGES (sem data) Estrutura e </w:t>
      </w:r>
      <w:proofErr w:type="spellStart"/>
      <w:r w:rsidRPr="00D91009">
        <w:t>titulaciones</w:t>
      </w:r>
      <w:proofErr w:type="spellEnd"/>
      <w:r w:rsidRPr="00D91009">
        <w:t xml:space="preserve"> do ensino superior </w:t>
      </w:r>
      <w:proofErr w:type="spellStart"/>
      <w:r w:rsidRPr="00D91009">
        <w:t>en</w:t>
      </w:r>
      <w:proofErr w:type="spellEnd"/>
      <w:r w:rsidRPr="00D91009">
        <w:t xml:space="preserve"> Portugal </w:t>
      </w:r>
      <w:hyperlink r:id="rId17" w:history="1">
        <w:r w:rsidRPr="00D91009">
          <w:rPr>
            <w:rStyle w:val="Hyperlink"/>
          </w:rPr>
          <w:t>http://www.oei.org.es/homologaciones/portugal.pdf</w:t>
        </w:r>
      </w:hyperlink>
    </w:p>
    <w:p w:rsidR="00D91009" w:rsidRPr="00D91009" w:rsidRDefault="00D91009" w:rsidP="00D91009">
      <w:pPr>
        <w:ind w:left="709" w:hanging="709"/>
      </w:pPr>
      <w:r w:rsidRPr="00D91009">
        <w:t xml:space="preserve">ENQA (2001) </w:t>
      </w:r>
      <w:proofErr w:type="spellStart"/>
      <w:r w:rsidRPr="00D91009">
        <w:t>Institutional</w:t>
      </w:r>
      <w:proofErr w:type="spellEnd"/>
      <w:r w:rsidRPr="00D91009">
        <w:t xml:space="preserve"> </w:t>
      </w:r>
      <w:proofErr w:type="spellStart"/>
      <w:r w:rsidRPr="00D91009">
        <w:t>Evaluations</w:t>
      </w:r>
      <w:proofErr w:type="spellEnd"/>
      <w:r w:rsidRPr="00D91009">
        <w:t xml:space="preserve"> </w:t>
      </w:r>
      <w:proofErr w:type="spellStart"/>
      <w:r w:rsidRPr="00D91009">
        <w:t>in</w:t>
      </w:r>
      <w:proofErr w:type="spellEnd"/>
      <w:r w:rsidRPr="00D91009">
        <w:t xml:space="preserve"> </w:t>
      </w:r>
      <w:proofErr w:type="spellStart"/>
      <w:r w:rsidRPr="00D91009">
        <w:t>Europe</w:t>
      </w:r>
      <w:proofErr w:type="spellEnd"/>
      <w:r w:rsidRPr="00D91009">
        <w:t>, Helsinki: ENQA</w:t>
      </w:r>
    </w:p>
    <w:p w:rsidR="00D91009" w:rsidRPr="00D91009" w:rsidRDefault="00D91009" w:rsidP="00D91009">
      <w:pPr>
        <w:ind w:left="709" w:hanging="709"/>
      </w:pPr>
      <w:r w:rsidRPr="00D91009">
        <w:t xml:space="preserve">ENQA (2003) </w:t>
      </w:r>
      <w:proofErr w:type="spellStart"/>
      <w:r w:rsidRPr="00D91009">
        <w:t>Quality</w:t>
      </w:r>
      <w:proofErr w:type="spellEnd"/>
      <w:r w:rsidRPr="00D91009">
        <w:t xml:space="preserve"> </w:t>
      </w:r>
      <w:proofErr w:type="spellStart"/>
      <w:r w:rsidRPr="00D91009">
        <w:t>procedures</w:t>
      </w:r>
      <w:proofErr w:type="spellEnd"/>
      <w:r w:rsidRPr="00D91009">
        <w:t xml:space="preserve"> </w:t>
      </w:r>
      <w:proofErr w:type="spellStart"/>
      <w:r w:rsidRPr="00D91009">
        <w:t>in</w:t>
      </w:r>
      <w:proofErr w:type="spellEnd"/>
      <w:r w:rsidRPr="00D91009">
        <w:t xml:space="preserve"> </w:t>
      </w:r>
      <w:proofErr w:type="spellStart"/>
      <w:r w:rsidRPr="00D91009">
        <w:t>European</w:t>
      </w:r>
      <w:proofErr w:type="spellEnd"/>
      <w:r w:rsidRPr="00D91009">
        <w:t xml:space="preserve"> </w:t>
      </w:r>
      <w:proofErr w:type="spellStart"/>
      <w:r w:rsidRPr="00D91009">
        <w:t>Higher</w:t>
      </w:r>
      <w:proofErr w:type="spellEnd"/>
      <w:r w:rsidRPr="00D91009">
        <w:t xml:space="preserve"> </w:t>
      </w:r>
      <w:proofErr w:type="spellStart"/>
      <w:r w:rsidRPr="00D91009">
        <w:t>Education</w:t>
      </w:r>
      <w:proofErr w:type="spellEnd"/>
      <w:r w:rsidRPr="00D91009">
        <w:t>; Helsinki: ENQA</w:t>
      </w:r>
    </w:p>
    <w:p w:rsidR="00D91009" w:rsidRPr="00D91009" w:rsidRDefault="00D91009" w:rsidP="00D91009">
      <w:pPr>
        <w:ind w:left="709" w:hanging="709"/>
      </w:pPr>
      <w:r w:rsidRPr="00D91009">
        <w:t xml:space="preserve">ENQA (2009) Standards </w:t>
      </w:r>
      <w:proofErr w:type="spellStart"/>
      <w:r w:rsidRPr="00D91009">
        <w:t>and</w:t>
      </w:r>
      <w:proofErr w:type="spellEnd"/>
      <w:r w:rsidRPr="00D91009">
        <w:t xml:space="preserve"> </w:t>
      </w:r>
      <w:proofErr w:type="spellStart"/>
      <w:r w:rsidRPr="00D91009">
        <w:t>Guidelines</w:t>
      </w:r>
      <w:proofErr w:type="spellEnd"/>
      <w:r w:rsidRPr="00D91009">
        <w:t xml:space="preserve"> for </w:t>
      </w:r>
      <w:proofErr w:type="spellStart"/>
      <w:r w:rsidRPr="00D91009">
        <w:t>Quality</w:t>
      </w:r>
      <w:proofErr w:type="spellEnd"/>
      <w:r w:rsidRPr="00D91009">
        <w:t xml:space="preserve"> </w:t>
      </w:r>
      <w:proofErr w:type="spellStart"/>
      <w:r w:rsidRPr="00D91009">
        <w:t>Assurance</w:t>
      </w:r>
      <w:proofErr w:type="spellEnd"/>
      <w:r w:rsidRPr="00D91009">
        <w:t xml:space="preserve"> </w:t>
      </w:r>
      <w:proofErr w:type="spellStart"/>
      <w:r w:rsidRPr="00D91009">
        <w:t>in</w:t>
      </w:r>
      <w:proofErr w:type="spellEnd"/>
      <w:r w:rsidRPr="00D91009">
        <w:t xml:space="preserve"> </w:t>
      </w:r>
      <w:proofErr w:type="spellStart"/>
      <w:r w:rsidRPr="00D91009">
        <w:t>the</w:t>
      </w:r>
      <w:proofErr w:type="spellEnd"/>
      <w:r w:rsidRPr="00D91009">
        <w:t xml:space="preserve"> </w:t>
      </w:r>
      <w:proofErr w:type="spellStart"/>
      <w:r w:rsidRPr="00D91009">
        <w:t>European</w:t>
      </w:r>
      <w:proofErr w:type="spellEnd"/>
      <w:r w:rsidRPr="00D91009">
        <w:t xml:space="preserve"> </w:t>
      </w:r>
      <w:proofErr w:type="spellStart"/>
      <w:r w:rsidRPr="00D91009">
        <w:t>Higher</w:t>
      </w:r>
      <w:proofErr w:type="spellEnd"/>
      <w:r w:rsidRPr="00D91009">
        <w:t xml:space="preserve"> </w:t>
      </w:r>
      <w:proofErr w:type="spellStart"/>
      <w:r w:rsidRPr="00D91009">
        <w:t>Education</w:t>
      </w:r>
      <w:proofErr w:type="spellEnd"/>
      <w:r w:rsidRPr="00D91009">
        <w:t xml:space="preserve"> </w:t>
      </w:r>
      <w:proofErr w:type="spellStart"/>
      <w:r w:rsidRPr="00D91009">
        <w:t>Area</w:t>
      </w:r>
      <w:proofErr w:type="spellEnd"/>
      <w:r w:rsidRPr="00D91009">
        <w:t xml:space="preserve">, 3rd </w:t>
      </w:r>
      <w:proofErr w:type="spellStart"/>
      <w:r w:rsidRPr="00D91009">
        <w:t>Edition</w:t>
      </w:r>
      <w:proofErr w:type="spellEnd"/>
      <w:r w:rsidRPr="00D91009">
        <w:t>.</w:t>
      </w:r>
    </w:p>
    <w:p w:rsidR="00D91009" w:rsidRPr="00D91009" w:rsidRDefault="00D91009" w:rsidP="00D91009">
      <w:pPr>
        <w:ind w:left="709" w:hanging="709"/>
      </w:pPr>
      <w:r w:rsidRPr="00D91009">
        <w:t xml:space="preserve">EURYDICE &amp; EUROSTAT (2009) </w:t>
      </w:r>
      <w:proofErr w:type="spellStart"/>
      <w:r w:rsidRPr="00D91009">
        <w:t>Key</w:t>
      </w:r>
      <w:proofErr w:type="spellEnd"/>
      <w:r w:rsidRPr="00D91009">
        <w:t xml:space="preserve"> Data </w:t>
      </w:r>
      <w:proofErr w:type="spellStart"/>
      <w:r w:rsidRPr="00D91009">
        <w:t>on</w:t>
      </w:r>
      <w:proofErr w:type="spellEnd"/>
      <w:r w:rsidRPr="00D91009">
        <w:t xml:space="preserve"> </w:t>
      </w:r>
      <w:proofErr w:type="spellStart"/>
      <w:r w:rsidRPr="00D91009">
        <w:t>Education</w:t>
      </w:r>
      <w:proofErr w:type="spellEnd"/>
      <w:r w:rsidRPr="00D91009">
        <w:t xml:space="preserve"> </w:t>
      </w:r>
      <w:proofErr w:type="spellStart"/>
      <w:r w:rsidRPr="00D91009">
        <w:t>in</w:t>
      </w:r>
      <w:proofErr w:type="spellEnd"/>
      <w:r w:rsidRPr="00D91009">
        <w:t xml:space="preserve"> </w:t>
      </w:r>
      <w:proofErr w:type="spellStart"/>
      <w:r w:rsidRPr="00D91009">
        <w:t>Europe</w:t>
      </w:r>
      <w:proofErr w:type="spellEnd"/>
      <w:r w:rsidRPr="00D91009">
        <w:t xml:space="preserve"> 2009, </w:t>
      </w:r>
      <w:proofErr w:type="spellStart"/>
      <w:r w:rsidRPr="00D91009">
        <w:t>Luxembourg</w:t>
      </w:r>
      <w:proofErr w:type="spellEnd"/>
      <w:r w:rsidRPr="00D91009">
        <w:t xml:space="preserve">: Office for </w:t>
      </w:r>
      <w:proofErr w:type="spellStart"/>
      <w:r w:rsidRPr="00D91009">
        <w:t>Official</w:t>
      </w:r>
      <w:proofErr w:type="spellEnd"/>
      <w:r w:rsidRPr="00D91009">
        <w:t xml:space="preserve"> </w:t>
      </w:r>
      <w:proofErr w:type="spellStart"/>
      <w:r w:rsidRPr="00D91009">
        <w:t>Publications</w:t>
      </w:r>
      <w:proofErr w:type="spellEnd"/>
      <w:r w:rsidRPr="00D91009">
        <w:t xml:space="preserve"> </w:t>
      </w:r>
      <w:proofErr w:type="spellStart"/>
      <w:r w:rsidRPr="00D91009">
        <w:t>of</w:t>
      </w:r>
      <w:proofErr w:type="spellEnd"/>
      <w:r w:rsidRPr="00D91009">
        <w:t xml:space="preserve"> </w:t>
      </w:r>
      <w:proofErr w:type="spellStart"/>
      <w:r w:rsidRPr="00D91009">
        <w:t>the</w:t>
      </w:r>
      <w:proofErr w:type="spellEnd"/>
      <w:r w:rsidRPr="00D91009">
        <w:t xml:space="preserve"> </w:t>
      </w:r>
      <w:proofErr w:type="spellStart"/>
      <w:r w:rsidRPr="00D91009">
        <w:t>European</w:t>
      </w:r>
      <w:proofErr w:type="spellEnd"/>
      <w:r w:rsidRPr="00D91009">
        <w:t xml:space="preserve"> </w:t>
      </w:r>
      <w:proofErr w:type="spellStart"/>
      <w:r w:rsidRPr="00D91009">
        <w:t>Communities</w:t>
      </w:r>
      <w:proofErr w:type="spellEnd"/>
      <w:r w:rsidRPr="00D91009">
        <w:t xml:space="preserve">; </w:t>
      </w:r>
    </w:p>
    <w:p w:rsidR="00D91009" w:rsidRPr="00D91009" w:rsidRDefault="00D91009" w:rsidP="00D91009">
      <w:pPr>
        <w:ind w:left="709" w:hanging="709"/>
      </w:pPr>
      <w:r w:rsidRPr="00D91009">
        <w:t xml:space="preserve">EURYDICE (2005) </w:t>
      </w:r>
      <w:proofErr w:type="spellStart"/>
      <w:r w:rsidRPr="00D91009">
        <w:t>Focus</w:t>
      </w:r>
      <w:proofErr w:type="spellEnd"/>
      <w:r w:rsidRPr="00D91009">
        <w:t xml:space="preserve"> </w:t>
      </w:r>
      <w:proofErr w:type="spellStart"/>
      <w:r w:rsidRPr="00D91009">
        <w:t>on</w:t>
      </w:r>
      <w:proofErr w:type="spellEnd"/>
      <w:r w:rsidRPr="00D91009">
        <w:t xml:space="preserve"> </w:t>
      </w:r>
      <w:proofErr w:type="spellStart"/>
      <w:r w:rsidRPr="00D91009">
        <w:t>the</w:t>
      </w:r>
      <w:proofErr w:type="spellEnd"/>
      <w:r w:rsidRPr="00D91009">
        <w:t xml:space="preserve"> </w:t>
      </w:r>
      <w:proofErr w:type="spellStart"/>
      <w:r w:rsidRPr="00D91009">
        <w:t>Structure</w:t>
      </w:r>
      <w:proofErr w:type="spellEnd"/>
      <w:r w:rsidRPr="00D91009">
        <w:t xml:space="preserve"> </w:t>
      </w:r>
      <w:proofErr w:type="spellStart"/>
      <w:r w:rsidRPr="00D91009">
        <w:t>of</w:t>
      </w:r>
      <w:proofErr w:type="spellEnd"/>
      <w:r w:rsidRPr="00D91009">
        <w:t xml:space="preserve"> </w:t>
      </w:r>
      <w:proofErr w:type="spellStart"/>
      <w:r w:rsidRPr="00D91009">
        <w:t>Higher</w:t>
      </w:r>
      <w:proofErr w:type="spellEnd"/>
      <w:r w:rsidRPr="00D91009">
        <w:t xml:space="preserve"> </w:t>
      </w:r>
      <w:proofErr w:type="spellStart"/>
      <w:r w:rsidRPr="00D91009">
        <w:t>Education</w:t>
      </w:r>
      <w:proofErr w:type="spellEnd"/>
      <w:r w:rsidRPr="00D91009">
        <w:t xml:space="preserve"> </w:t>
      </w:r>
      <w:proofErr w:type="spellStart"/>
      <w:r w:rsidRPr="00D91009">
        <w:t>in</w:t>
      </w:r>
      <w:proofErr w:type="spellEnd"/>
      <w:r w:rsidRPr="00D91009">
        <w:t xml:space="preserve"> </w:t>
      </w:r>
      <w:proofErr w:type="spellStart"/>
      <w:r w:rsidRPr="00D91009">
        <w:t>Europe</w:t>
      </w:r>
      <w:proofErr w:type="spellEnd"/>
      <w:r w:rsidRPr="00D91009">
        <w:t xml:space="preserve"> 2004/05 - </w:t>
      </w:r>
      <w:proofErr w:type="spellStart"/>
      <w:r w:rsidRPr="00D91009">
        <w:t>National</w:t>
      </w:r>
      <w:proofErr w:type="spellEnd"/>
      <w:r w:rsidRPr="00D91009">
        <w:t xml:space="preserve"> </w:t>
      </w:r>
      <w:proofErr w:type="spellStart"/>
      <w:r w:rsidRPr="00D91009">
        <w:t>Trends</w:t>
      </w:r>
      <w:proofErr w:type="spellEnd"/>
      <w:r w:rsidRPr="00D91009">
        <w:t xml:space="preserve"> </w:t>
      </w:r>
      <w:proofErr w:type="spellStart"/>
      <w:r w:rsidRPr="00D91009">
        <w:t>in</w:t>
      </w:r>
      <w:proofErr w:type="spellEnd"/>
      <w:r w:rsidRPr="00D91009">
        <w:t xml:space="preserve"> </w:t>
      </w:r>
      <w:proofErr w:type="spellStart"/>
      <w:r w:rsidRPr="00D91009">
        <w:t>the</w:t>
      </w:r>
      <w:proofErr w:type="spellEnd"/>
      <w:r w:rsidRPr="00D91009">
        <w:t xml:space="preserve"> Bologna </w:t>
      </w:r>
      <w:proofErr w:type="spellStart"/>
      <w:r w:rsidRPr="00D91009">
        <w:t>Process</w:t>
      </w:r>
      <w:proofErr w:type="spellEnd"/>
      <w:r w:rsidRPr="00D91009">
        <w:t xml:space="preserve">, Bruxelas: </w:t>
      </w:r>
      <w:proofErr w:type="spellStart"/>
      <w:r w:rsidRPr="00D91009">
        <w:t>Eurydice</w:t>
      </w:r>
      <w:proofErr w:type="spellEnd"/>
      <w:r w:rsidRPr="00D91009">
        <w:t>;</w:t>
      </w:r>
    </w:p>
    <w:p w:rsidR="00D91009" w:rsidRPr="00D91009" w:rsidRDefault="00D91009" w:rsidP="00D91009">
      <w:pPr>
        <w:ind w:left="709" w:hanging="709"/>
      </w:pPr>
      <w:r w:rsidRPr="00D91009">
        <w:t xml:space="preserve">EURYDICE (2006) </w:t>
      </w:r>
      <w:proofErr w:type="spellStart"/>
      <w:r w:rsidRPr="00D91009">
        <w:t>National</w:t>
      </w:r>
      <w:proofErr w:type="spellEnd"/>
      <w:r w:rsidRPr="00D91009">
        <w:t xml:space="preserve"> </w:t>
      </w:r>
      <w:proofErr w:type="spellStart"/>
      <w:r w:rsidRPr="00D91009">
        <w:t>summary</w:t>
      </w:r>
      <w:proofErr w:type="spellEnd"/>
      <w:r w:rsidRPr="00D91009">
        <w:t xml:space="preserve"> </w:t>
      </w:r>
      <w:proofErr w:type="spellStart"/>
      <w:r w:rsidRPr="00D91009">
        <w:t>sheets</w:t>
      </w:r>
      <w:proofErr w:type="spellEnd"/>
      <w:r w:rsidRPr="00D91009">
        <w:t xml:space="preserve"> </w:t>
      </w:r>
      <w:proofErr w:type="spellStart"/>
      <w:r w:rsidRPr="00D91009">
        <w:t>on</w:t>
      </w:r>
      <w:proofErr w:type="spellEnd"/>
      <w:r w:rsidRPr="00D91009">
        <w:t xml:space="preserve"> </w:t>
      </w:r>
      <w:proofErr w:type="spellStart"/>
      <w:r w:rsidRPr="00D91009">
        <w:t>education</w:t>
      </w:r>
      <w:proofErr w:type="spellEnd"/>
      <w:r w:rsidRPr="00D91009">
        <w:t xml:space="preserve"> </w:t>
      </w:r>
      <w:proofErr w:type="spellStart"/>
      <w:r w:rsidRPr="00D91009">
        <w:t>systems</w:t>
      </w:r>
      <w:proofErr w:type="spellEnd"/>
      <w:r w:rsidRPr="00D91009">
        <w:t xml:space="preserve"> </w:t>
      </w:r>
      <w:proofErr w:type="spellStart"/>
      <w:r w:rsidRPr="00D91009">
        <w:t>in</w:t>
      </w:r>
      <w:proofErr w:type="spellEnd"/>
      <w:r w:rsidRPr="00D91009">
        <w:t xml:space="preserve"> </w:t>
      </w:r>
      <w:proofErr w:type="spellStart"/>
      <w:r w:rsidRPr="00D91009">
        <w:t>Europe</w:t>
      </w:r>
      <w:proofErr w:type="spellEnd"/>
      <w:r w:rsidRPr="00D91009">
        <w:t xml:space="preserve"> </w:t>
      </w:r>
      <w:proofErr w:type="spellStart"/>
      <w:r w:rsidRPr="00D91009">
        <w:t>and</w:t>
      </w:r>
      <w:proofErr w:type="spellEnd"/>
      <w:r w:rsidRPr="00D91009">
        <w:t xml:space="preserve"> </w:t>
      </w:r>
      <w:proofErr w:type="spellStart"/>
      <w:r w:rsidRPr="00D91009">
        <w:t>ongoing</w:t>
      </w:r>
      <w:proofErr w:type="spellEnd"/>
      <w:r w:rsidRPr="00D91009">
        <w:t xml:space="preserve"> </w:t>
      </w:r>
      <w:proofErr w:type="spellStart"/>
      <w:r w:rsidRPr="00D91009">
        <w:t>reforms</w:t>
      </w:r>
      <w:proofErr w:type="spellEnd"/>
      <w:r w:rsidRPr="00D91009">
        <w:t xml:space="preserve">, Bruxelas: </w:t>
      </w:r>
      <w:proofErr w:type="spellStart"/>
      <w:r w:rsidRPr="00D91009">
        <w:t>Eurydice</w:t>
      </w:r>
      <w:proofErr w:type="spellEnd"/>
      <w:r w:rsidRPr="00D91009">
        <w:t>;</w:t>
      </w:r>
    </w:p>
    <w:p w:rsidR="00D91009" w:rsidRPr="00D91009" w:rsidRDefault="00D91009" w:rsidP="00D91009">
      <w:pPr>
        <w:ind w:left="709" w:hanging="709"/>
      </w:pPr>
      <w:r w:rsidRPr="00D91009">
        <w:t xml:space="preserve">EURYDICE (2008) Estrutura dos Sistemas de Ensino, Formação Profissional e Ensino para Adultos na Europa 2006/2007, Bruxelas: </w:t>
      </w:r>
      <w:proofErr w:type="spellStart"/>
      <w:r w:rsidRPr="00D91009">
        <w:t>Eurydice</w:t>
      </w:r>
      <w:proofErr w:type="spellEnd"/>
      <w:r w:rsidRPr="00D91009">
        <w:t>;</w:t>
      </w:r>
    </w:p>
    <w:p w:rsidR="00D91009" w:rsidRPr="00D91009" w:rsidRDefault="00D91009" w:rsidP="00D91009">
      <w:pPr>
        <w:ind w:left="709" w:hanging="709"/>
      </w:pPr>
      <w:r w:rsidRPr="00D91009">
        <w:t xml:space="preserve">HIS (2004) </w:t>
      </w:r>
      <w:proofErr w:type="spellStart"/>
      <w:r w:rsidRPr="00D91009">
        <w:t>Eurostudent</w:t>
      </w:r>
      <w:proofErr w:type="spellEnd"/>
      <w:r w:rsidRPr="00D91009">
        <w:t xml:space="preserve"> </w:t>
      </w:r>
      <w:proofErr w:type="spellStart"/>
      <w:r w:rsidRPr="00D91009">
        <w:t>Report</w:t>
      </w:r>
      <w:proofErr w:type="spellEnd"/>
      <w:r w:rsidRPr="00D91009">
        <w:t xml:space="preserve"> 2005; Hannover: HIS;</w:t>
      </w:r>
    </w:p>
    <w:p w:rsidR="00D91009" w:rsidRPr="00D91009" w:rsidRDefault="00D91009" w:rsidP="00D91009">
      <w:pPr>
        <w:ind w:left="709" w:hanging="709"/>
      </w:pPr>
      <w:r w:rsidRPr="00D91009">
        <w:t>MCTES (2004) Desenvolvimento da Educação em Portugal – Ensino Superior, Lisboa: Editora do Ministério da Educação, Volume II;</w:t>
      </w:r>
    </w:p>
    <w:p w:rsidR="00D91009" w:rsidRPr="00D91009" w:rsidRDefault="00D91009" w:rsidP="00D91009">
      <w:pPr>
        <w:ind w:left="709" w:hanging="709"/>
      </w:pPr>
      <w:r w:rsidRPr="00D91009">
        <w:t xml:space="preserve">MCTES (2006) </w:t>
      </w:r>
      <w:proofErr w:type="spellStart"/>
      <w:r w:rsidRPr="00D91009">
        <w:t>Tertiary</w:t>
      </w:r>
      <w:proofErr w:type="spellEnd"/>
      <w:r w:rsidRPr="00D91009">
        <w:t xml:space="preserve"> </w:t>
      </w:r>
      <w:proofErr w:type="spellStart"/>
      <w:r w:rsidRPr="00D91009">
        <w:t>Education</w:t>
      </w:r>
      <w:proofErr w:type="spellEnd"/>
      <w:r w:rsidRPr="00D91009">
        <w:t xml:space="preserve"> </w:t>
      </w:r>
      <w:proofErr w:type="spellStart"/>
      <w:r w:rsidRPr="00D91009">
        <w:t>in</w:t>
      </w:r>
      <w:proofErr w:type="spellEnd"/>
      <w:r w:rsidRPr="00D91009">
        <w:t xml:space="preserve"> Portugal, Lisboa: MCTES;</w:t>
      </w:r>
    </w:p>
    <w:p w:rsidR="00D91009" w:rsidRPr="00D91009" w:rsidRDefault="00D91009" w:rsidP="00D91009">
      <w:pPr>
        <w:ind w:left="709" w:hanging="709"/>
      </w:pPr>
      <w:r w:rsidRPr="00D91009">
        <w:t xml:space="preserve">OCDE (2007) </w:t>
      </w:r>
      <w:proofErr w:type="spellStart"/>
      <w:r w:rsidRPr="00D91009">
        <w:t>Reviews</w:t>
      </w:r>
      <w:proofErr w:type="spellEnd"/>
      <w:r w:rsidRPr="00D91009">
        <w:t xml:space="preserve"> </w:t>
      </w:r>
      <w:proofErr w:type="spellStart"/>
      <w:r w:rsidRPr="00D91009">
        <w:t>Of</w:t>
      </w:r>
      <w:proofErr w:type="spellEnd"/>
      <w:r w:rsidRPr="00D91009">
        <w:t xml:space="preserve"> </w:t>
      </w:r>
      <w:proofErr w:type="spellStart"/>
      <w:r w:rsidRPr="00D91009">
        <w:t>National</w:t>
      </w:r>
      <w:proofErr w:type="spellEnd"/>
      <w:r w:rsidRPr="00D91009">
        <w:t xml:space="preserve"> Policies For </w:t>
      </w:r>
      <w:proofErr w:type="spellStart"/>
      <w:r w:rsidRPr="00D91009">
        <w:t>Education</w:t>
      </w:r>
      <w:proofErr w:type="spellEnd"/>
      <w:r w:rsidRPr="00D91009">
        <w:t xml:space="preserve">: </w:t>
      </w:r>
      <w:proofErr w:type="spellStart"/>
      <w:r w:rsidRPr="00D91009">
        <w:t>Tertiary</w:t>
      </w:r>
      <w:proofErr w:type="spellEnd"/>
      <w:r w:rsidRPr="00D91009">
        <w:t xml:space="preserve"> </w:t>
      </w:r>
      <w:proofErr w:type="spellStart"/>
      <w:r w:rsidRPr="00D91009">
        <w:t>Education</w:t>
      </w:r>
      <w:proofErr w:type="spellEnd"/>
      <w:r w:rsidRPr="00D91009">
        <w:t xml:space="preserve"> </w:t>
      </w:r>
      <w:proofErr w:type="spellStart"/>
      <w:r w:rsidRPr="00D91009">
        <w:t>in</w:t>
      </w:r>
      <w:proofErr w:type="spellEnd"/>
      <w:r w:rsidRPr="00D91009">
        <w:t xml:space="preserve"> Portugal.</w:t>
      </w:r>
    </w:p>
    <w:p w:rsidR="00D91009" w:rsidRPr="00D91009" w:rsidRDefault="00D91009" w:rsidP="00D91009">
      <w:pPr>
        <w:ind w:left="709" w:hanging="709"/>
      </w:pPr>
      <w:r w:rsidRPr="00D91009">
        <w:t>OCES (2003) Programas de Formação Avançada de Recursos Humanos em C&amp;T (1990-2002); Lisboa: OCES;</w:t>
      </w:r>
    </w:p>
    <w:p w:rsidR="00D91009" w:rsidRPr="00D91009" w:rsidRDefault="00D91009" w:rsidP="00D91009">
      <w:pPr>
        <w:ind w:left="709" w:hanging="709"/>
      </w:pPr>
      <w:r w:rsidRPr="00D91009">
        <w:t>OCES (2004) Índice de Sucesso Escolar no Ensino Superior Público: Diplomados Em 2002-2003, Lisboa: OCES;</w:t>
      </w:r>
    </w:p>
    <w:p w:rsidR="00D91009" w:rsidRPr="00D91009" w:rsidRDefault="00D91009" w:rsidP="00D91009">
      <w:pPr>
        <w:ind w:left="709" w:hanging="709"/>
      </w:pPr>
      <w:r w:rsidRPr="00D91009">
        <w:t xml:space="preserve">OCES (2004) O Sistema do Ensino Superior em Portugal 1993 – 2003 </w:t>
      </w:r>
      <w:hyperlink r:id="rId18" w:history="1">
        <w:r w:rsidRPr="00D91009">
          <w:rPr>
            <w:rStyle w:val="Hyperlink"/>
          </w:rPr>
          <w:t>http://www.oces.mctes.pt/?id_categoria=47&amp;id_item=95451&amp;pasta=61</w:t>
        </w:r>
      </w:hyperlink>
    </w:p>
    <w:p w:rsidR="00D91009" w:rsidRPr="00D91009" w:rsidRDefault="00D91009" w:rsidP="00D91009">
      <w:pPr>
        <w:ind w:left="709" w:hanging="709"/>
      </w:pPr>
      <w:r w:rsidRPr="00D91009">
        <w:t>OCES (2006) Inquérito ao Potencial Científico e Tecnológico Nacional - IPTCN (Estatísticas Oficiais)</w:t>
      </w:r>
    </w:p>
    <w:p w:rsidR="00D91009" w:rsidRPr="00D91009" w:rsidRDefault="00D91009" w:rsidP="00D91009">
      <w:pPr>
        <w:ind w:left="709" w:hanging="709"/>
      </w:pPr>
      <w:r w:rsidRPr="00D91009">
        <w:t xml:space="preserve">OECD (2010) </w:t>
      </w:r>
      <w:proofErr w:type="spellStart"/>
      <w:r w:rsidRPr="00D91009">
        <w:t>Education</w:t>
      </w:r>
      <w:proofErr w:type="spellEnd"/>
      <w:r w:rsidRPr="00D91009">
        <w:t xml:space="preserve"> </w:t>
      </w:r>
      <w:proofErr w:type="spellStart"/>
      <w:r w:rsidRPr="00D91009">
        <w:t>at</w:t>
      </w:r>
      <w:proofErr w:type="spellEnd"/>
      <w:r w:rsidRPr="00D91009">
        <w:t xml:space="preserve"> a </w:t>
      </w:r>
      <w:proofErr w:type="spellStart"/>
      <w:r w:rsidRPr="00D91009">
        <w:t>Glance</w:t>
      </w:r>
      <w:proofErr w:type="spellEnd"/>
      <w:r w:rsidRPr="00D91009">
        <w:t xml:space="preserve"> 2010. Paris: OECD;</w:t>
      </w:r>
    </w:p>
    <w:p w:rsidR="00D91009" w:rsidRPr="00D91009" w:rsidRDefault="00D91009" w:rsidP="00D91009">
      <w:pPr>
        <w:ind w:left="709" w:hanging="709"/>
      </w:pPr>
      <w:r w:rsidRPr="00D91009">
        <w:t xml:space="preserve">PILE, Marta &amp; TEIXEIRA, Isabel (1998) "Avaliação das Universidades: a experiencia do IST", </w:t>
      </w:r>
      <w:proofErr w:type="spellStart"/>
      <w:r w:rsidRPr="00D91009">
        <w:t>in</w:t>
      </w:r>
      <w:proofErr w:type="spellEnd"/>
      <w:r w:rsidRPr="00D91009">
        <w:t xml:space="preserve"> Novas Ideias para a Universidade, Lisboa: IST </w:t>
      </w:r>
      <w:proofErr w:type="spellStart"/>
      <w:r w:rsidRPr="00D91009">
        <w:t>Press</w:t>
      </w:r>
      <w:proofErr w:type="spellEnd"/>
      <w:r w:rsidRPr="00D91009">
        <w:t>.</w:t>
      </w:r>
    </w:p>
    <w:p w:rsidR="00D91009" w:rsidRPr="00D91009" w:rsidRDefault="00D91009" w:rsidP="00D91009">
      <w:pPr>
        <w:ind w:left="709" w:hanging="709"/>
      </w:pPr>
      <w:r w:rsidRPr="00D91009">
        <w:t>ROSA, Maria João &amp; AMARAL, Alberto (2008) "</w:t>
      </w:r>
      <w:proofErr w:type="spellStart"/>
      <w:r w:rsidRPr="00D91009">
        <w:t>Evaluation</w:t>
      </w:r>
      <w:proofErr w:type="spellEnd"/>
      <w:r w:rsidRPr="00D91009">
        <w:t xml:space="preserve"> </w:t>
      </w:r>
      <w:proofErr w:type="spellStart"/>
      <w:r w:rsidRPr="00D91009">
        <w:t>Reports</w:t>
      </w:r>
      <w:proofErr w:type="spellEnd"/>
      <w:r w:rsidRPr="00D91009">
        <w:t xml:space="preserve">: Do </w:t>
      </w:r>
      <w:proofErr w:type="spellStart"/>
      <w:r w:rsidRPr="00D91009">
        <w:t>They</w:t>
      </w:r>
      <w:proofErr w:type="spellEnd"/>
      <w:r w:rsidRPr="00D91009">
        <w:t xml:space="preserve"> </w:t>
      </w:r>
      <w:proofErr w:type="spellStart"/>
      <w:r w:rsidRPr="00D91009">
        <w:t>Contribute</w:t>
      </w:r>
      <w:proofErr w:type="spellEnd"/>
      <w:r w:rsidRPr="00D91009">
        <w:t xml:space="preserve"> to </w:t>
      </w:r>
      <w:proofErr w:type="spellStart"/>
      <w:r w:rsidRPr="00D91009">
        <w:t>Quality</w:t>
      </w:r>
      <w:proofErr w:type="spellEnd"/>
      <w:r w:rsidRPr="00D91009">
        <w:t xml:space="preserve"> </w:t>
      </w:r>
      <w:proofErr w:type="spellStart"/>
      <w:r w:rsidRPr="00D91009">
        <w:t>Improvement</w:t>
      </w:r>
      <w:proofErr w:type="spellEnd"/>
      <w:r w:rsidRPr="00D91009">
        <w:t xml:space="preserve">?", </w:t>
      </w:r>
      <w:proofErr w:type="spellStart"/>
      <w:proofErr w:type="gramStart"/>
      <w:r w:rsidRPr="00D91009">
        <w:t>in</w:t>
      </w:r>
      <w:proofErr w:type="spellEnd"/>
      <w:proofErr w:type="gramEnd"/>
      <w:r w:rsidRPr="00D91009">
        <w:t xml:space="preserve"> </w:t>
      </w:r>
      <w:proofErr w:type="spellStart"/>
      <w:r w:rsidRPr="00D91009">
        <w:t>Essays</w:t>
      </w:r>
      <w:proofErr w:type="spellEnd"/>
      <w:r w:rsidRPr="00D91009">
        <w:t xml:space="preserve"> </w:t>
      </w:r>
      <w:proofErr w:type="spellStart"/>
      <w:r w:rsidRPr="00D91009">
        <w:t>in</w:t>
      </w:r>
      <w:proofErr w:type="spellEnd"/>
      <w:r w:rsidRPr="00D91009">
        <w:t xml:space="preserve"> </w:t>
      </w:r>
      <w:proofErr w:type="spellStart"/>
      <w:r w:rsidRPr="00D91009">
        <w:t>suportive</w:t>
      </w:r>
      <w:proofErr w:type="spellEnd"/>
      <w:r w:rsidRPr="00D91009">
        <w:t xml:space="preserve"> </w:t>
      </w:r>
      <w:proofErr w:type="spellStart"/>
      <w:r w:rsidRPr="00D91009">
        <w:t>Peer</w:t>
      </w:r>
      <w:proofErr w:type="spellEnd"/>
      <w:r w:rsidRPr="00D91009">
        <w:t xml:space="preserve"> </w:t>
      </w:r>
      <w:proofErr w:type="spellStart"/>
      <w:r w:rsidRPr="00D91009">
        <w:t>Review</w:t>
      </w:r>
      <w:proofErr w:type="spellEnd"/>
      <w:r w:rsidRPr="00D91009">
        <w:t>.</w:t>
      </w:r>
    </w:p>
    <w:p w:rsidR="00D91009" w:rsidRPr="00D91009" w:rsidRDefault="00D91009" w:rsidP="00D91009">
      <w:pPr>
        <w:ind w:left="709" w:hanging="709"/>
      </w:pPr>
      <w:r w:rsidRPr="00D91009">
        <w:t xml:space="preserve">ROSA, Maria João &amp; SARRICO, Cláudia (2007) "Qualidade e Acreditação no Ensino Superior: Modelos e Tendências Actuais, </w:t>
      </w:r>
      <w:proofErr w:type="spellStart"/>
      <w:r w:rsidRPr="00D91009">
        <w:t>in</w:t>
      </w:r>
      <w:proofErr w:type="spellEnd"/>
      <w:r w:rsidRPr="00D91009">
        <w:t xml:space="preserve"> Seminário Qualidade e Avaliação.</w:t>
      </w:r>
    </w:p>
    <w:p w:rsidR="00D91009" w:rsidRPr="00D91009" w:rsidRDefault="00D91009" w:rsidP="00D91009">
      <w:pPr>
        <w:ind w:left="709" w:hanging="709"/>
      </w:pPr>
      <w:r w:rsidRPr="00D91009">
        <w:t>SANTOS, Sérgio Machado dos, (2008) “Qualidade E Avaliação Interna – Responsabilidade Inalienável Das Instituições De Ensino Superior”</w:t>
      </w:r>
    </w:p>
    <w:p w:rsidR="00D91009" w:rsidRPr="00D91009" w:rsidRDefault="00D91009" w:rsidP="00D91009">
      <w:pPr>
        <w:ind w:left="709" w:hanging="709"/>
      </w:pPr>
      <w:r w:rsidRPr="00D91009">
        <w:t>SANTOS, Sérgio Machado dos, (2009), Análise Comparativa Dos Processos Europeus Para A Avaliação E Certificação De Sistemas Internos De Garantia Da Qualidade, A3ES</w:t>
      </w:r>
    </w:p>
    <w:p w:rsidR="00D91009" w:rsidRPr="00D91009" w:rsidRDefault="00D91009" w:rsidP="00D91009">
      <w:pPr>
        <w:ind w:left="709" w:hanging="709"/>
      </w:pPr>
      <w:r w:rsidRPr="00D91009">
        <w:t>SIMÃO, J.V., SANTOS, S.M. &amp; COSTA, A.A. (2005). Ambição para a Excelência – A Oportunidade de Bolonha, Gradiva, Lisboa.</w:t>
      </w:r>
    </w:p>
    <w:p w:rsidR="00D91009" w:rsidRPr="00D91009" w:rsidRDefault="00D91009" w:rsidP="00D91009">
      <w:pPr>
        <w:ind w:left="709" w:hanging="709"/>
      </w:pPr>
      <w:r w:rsidRPr="00D91009">
        <w:t xml:space="preserve">UNESCO (1997) ISCED 97 - Internacional </w:t>
      </w:r>
      <w:proofErr w:type="spellStart"/>
      <w:r w:rsidRPr="00D91009">
        <w:t>Standart</w:t>
      </w:r>
      <w:proofErr w:type="spellEnd"/>
      <w:r w:rsidRPr="00D91009">
        <w:t xml:space="preserve"> </w:t>
      </w:r>
      <w:proofErr w:type="spellStart"/>
      <w:r w:rsidRPr="00D91009">
        <w:t>Classification</w:t>
      </w:r>
      <w:proofErr w:type="spellEnd"/>
      <w:r w:rsidRPr="00D91009">
        <w:t xml:space="preserve"> </w:t>
      </w:r>
      <w:proofErr w:type="spellStart"/>
      <w:r w:rsidRPr="00D91009">
        <w:t>of</w:t>
      </w:r>
      <w:proofErr w:type="spellEnd"/>
      <w:r w:rsidRPr="00D91009">
        <w:t xml:space="preserve"> </w:t>
      </w:r>
      <w:proofErr w:type="spellStart"/>
      <w:r w:rsidRPr="00D91009">
        <w:t>Education</w:t>
      </w:r>
      <w:proofErr w:type="spellEnd"/>
      <w:r w:rsidRPr="00D91009">
        <w:t>;</w:t>
      </w:r>
    </w:p>
    <w:sectPr w:rsidR="00D91009" w:rsidRPr="00D91009" w:rsidSect="00072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46" w:rsidRDefault="00350646" w:rsidP="00E3339E">
      <w:pPr>
        <w:pStyle w:val="TOC7"/>
      </w:pPr>
      <w:r>
        <w:separator/>
      </w:r>
    </w:p>
  </w:endnote>
  <w:endnote w:type="continuationSeparator" w:id="0">
    <w:p w:rsidR="00350646" w:rsidRDefault="00350646" w:rsidP="00E3339E">
      <w:pPr>
        <w:pStyle w:val="TOC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46" w:rsidRDefault="00350646" w:rsidP="002630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646" w:rsidRDefault="00350646" w:rsidP="00D46DE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46" w:rsidRPr="002A1971" w:rsidRDefault="00350646" w:rsidP="0026308E">
    <w:pPr>
      <w:pStyle w:val="Footer"/>
      <w:framePr w:wrap="around" w:vAnchor="text" w:hAnchor="margin" w:xAlign="right" w:y="1"/>
      <w:rPr>
        <w:rStyle w:val="PageNumber"/>
        <w:b/>
        <w:color w:val="45556A"/>
        <w:sz w:val="16"/>
        <w:szCs w:val="16"/>
      </w:rPr>
    </w:pPr>
    <w:r w:rsidRPr="002A1971">
      <w:rPr>
        <w:rStyle w:val="PageNumber"/>
        <w:b/>
        <w:color w:val="45556A"/>
        <w:sz w:val="16"/>
        <w:szCs w:val="16"/>
      </w:rPr>
      <w:fldChar w:fldCharType="begin"/>
    </w:r>
    <w:r w:rsidRPr="002A1971">
      <w:rPr>
        <w:rStyle w:val="PageNumber"/>
        <w:b/>
        <w:color w:val="45556A"/>
        <w:sz w:val="16"/>
        <w:szCs w:val="16"/>
      </w:rPr>
      <w:instrText xml:space="preserve">PAGE  </w:instrText>
    </w:r>
    <w:r w:rsidRPr="002A1971">
      <w:rPr>
        <w:rStyle w:val="PageNumber"/>
        <w:b/>
        <w:color w:val="45556A"/>
        <w:sz w:val="16"/>
        <w:szCs w:val="16"/>
      </w:rPr>
      <w:fldChar w:fldCharType="separate"/>
    </w:r>
    <w:r w:rsidR="007764AE">
      <w:rPr>
        <w:rStyle w:val="PageNumber"/>
        <w:b/>
        <w:noProof/>
        <w:color w:val="45556A"/>
        <w:sz w:val="16"/>
        <w:szCs w:val="16"/>
      </w:rPr>
      <w:t>4</w:t>
    </w:r>
    <w:r w:rsidRPr="002A1971">
      <w:rPr>
        <w:rStyle w:val="PageNumber"/>
        <w:b/>
        <w:color w:val="45556A"/>
        <w:sz w:val="16"/>
        <w:szCs w:val="16"/>
      </w:rPr>
      <w:fldChar w:fldCharType="end"/>
    </w:r>
  </w:p>
  <w:p w:rsidR="00350646" w:rsidRPr="00FA6E8B" w:rsidRDefault="00350646" w:rsidP="002A1971">
    <w:pPr>
      <w:pStyle w:val="Footer"/>
      <w:pBdr>
        <w:top w:val="single" w:sz="4" w:space="1" w:color="45556A"/>
      </w:pBdr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46" w:rsidRDefault="00350646" w:rsidP="00E3339E">
      <w:pPr>
        <w:pStyle w:val="TOC7"/>
      </w:pPr>
      <w:r>
        <w:separator/>
      </w:r>
    </w:p>
  </w:footnote>
  <w:footnote w:type="continuationSeparator" w:id="0">
    <w:p w:rsidR="00350646" w:rsidRDefault="00350646" w:rsidP="00E3339E">
      <w:pPr>
        <w:pStyle w:val="TOC7"/>
      </w:pPr>
      <w:r>
        <w:continuationSeparator/>
      </w:r>
    </w:p>
  </w:footnote>
  <w:footnote w:id="1">
    <w:p w:rsidR="00350646" w:rsidRDefault="00350646">
      <w:pPr>
        <w:pStyle w:val="FootnoteText"/>
      </w:pPr>
      <w:r>
        <w:rPr>
          <w:rStyle w:val="FootnoteReference"/>
        </w:rPr>
        <w:footnoteRef/>
      </w:r>
      <w:r>
        <w:t xml:space="preserve"> Mestrado Integrado 1º ciclo + 2º ciclo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46" w:rsidRPr="002A1971" w:rsidRDefault="00350646">
    <w:pPr>
      <w:pStyle w:val="Header"/>
      <w:rPr>
        <w:color w:val="45556A"/>
        <w:sz w:val="14"/>
        <w:szCs w:val="14"/>
      </w:rPr>
    </w:pPr>
    <w:r w:rsidRPr="002A1971">
      <w:rPr>
        <w:color w:val="45556A"/>
        <w:sz w:val="14"/>
        <w:szCs w:val="14"/>
      </w:rPr>
      <w:t xml:space="preserve">ENSINO SUPERIOR NOS PAÍSES IBERO-AMERICANOS </w:t>
    </w:r>
    <w:proofErr w:type="gramStart"/>
    <w:r w:rsidRPr="002A1971">
      <w:rPr>
        <w:color w:val="45556A"/>
        <w:sz w:val="14"/>
        <w:szCs w:val="14"/>
      </w:rPr>
      <w:t>-20</w:t>
    </w:r>
    <w:r>
      <w:rPr>
        <w:color w:val="45556A"/>
        <w:sz w:val="14"/>
        <w:szCs w:val="14"/>
      </w:rPr>
      <w:t>10</w:t>
    </w:r>
    <w:r w:rsidRPr="002A1971">
      <w:rPr>
        <w:color w:val="45556A"/>
        <w:sz w:val="14"/>
        <w:szCs w:val="14"/>
      </w:rPr>
      <w:t>.........</w:t>
    </w:r>
    <w:proofErr w:type="gramEnd"/>
    <w:r w:rsidRPr="002A1971">
      <w:rPr>
        <w:color w:val="45556A"/>
        <w:sz w:val="14"/>
        <w:szCs w:val="14"/>
      </w:rPr>
      <w:t>……………………………</w:t>
    </w:r>
    <w:r>
      <w:rPr>
        <w:color w:val="45556A"/>
        <w:sz w:val="14"/>
        <w:szCs w:val="14"/>
      </w:rPr>
      <w:t>...</w:t>
    </w:r>
    <w:r w:rsidRPr="002A1971">
      <w:rPr>
        <w:color w:val="45556A"/>
        <w:sz w:val="14"/>
        <w:szCs w:val="14"/>
      </w:rPr>
      <w:t>………… INSTITUTO SUPERIOR TÉCNICO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9pt;height:9pt" o:bullet="t">
        <v:imagedata r:id="rId1" o:title="BD14519_"/>
      </v:shape>
    </w:pict>
  </w:numPicBullet>
  <w:numPicBullet w:numPicBulletId="1">
    <w:pict>
      <v:shape id="_x0000_i1150" type="#_x0000_t75" style="width:9pt;height:9pt" o:bullet="t">
        <v:imagedata r:id="rId2" o:title="BD21482_"/>
      </v:shape>
    </w:pict>
  </w:numPicBullet>
  <w:abstractNum w:abstractNumId="0">
    <w:nsid w:val="00625D95"/>
    <w:multiLevelType w:val="hybridMultilevel"/>
    <w:tmpl w:val="4BB0EDA0"/>
    <w:lvl w:ilvl="0" w:tplc="4DCAD50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90E10"/>
    <w:multiLevelType w:val="hybridMultilevel"/>
    <w:tmpl w:val="5E4C0D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A5473"/>
    <w:multiLevelType w:val="hybridMultilevel"/>
    <w:tmpl w:val="2B5CAB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305DA"/>
    <w:multiLevelType w:val="hybridMultilevel"/>
    <w:tmpl w:val="3D8EE778"/>
    <w:lvl w:ilvl="0" w:tplc="6F7AFE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7E4EE0"/>
    <w:multiLevelType w:val="multilevel"/>
    <w:tmpl w:val="216CAACE"/>
    <w:lvl w:ilvl="0">
      <w:start w:val="1"/>
      <w:numFmt w:val="decimal"/>
      <w:pStyle w:val="Heading1"/>
      <w:suff w:val="space"/>
      <w:lvlText w:val="Capítulo %1 - 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Heading2"/>
      <w:suff w:val="nothing"/>
      <w:lvlText w:val="%2 - 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 "/>
      <w:lvlJc w:val="left"/>
      <w:pPr>
        <w:ind w:left="0" w:firstLine="0"/>
      </w:pPr>
      <w:rPr>
        <w:rFonts w:hint="default"/>
      </w:rPr>
    </w:lvl>
    <w:lvl w:ilvl="3">
      <w:start w:val="1"/>
      <w:numFmt w:val="upperRoman"/>
      <w:pStyle w:val="Heading4"/>
      <w:suff w:val="nothing"/>
      <w:lvlText w:val="%4 - 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8F55511"/>
    <w:multiLevelType w:val="hybridMultilevel"/>
    <w:tmpl w:val="5708653E"/>
    <w:lvl w:ilvl="0" w:tplc="6F7AFE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07683"/>
    <w:multiLevelType w:val="hybridMultilevel"/>
    <w:tmpl w:val="C6CC1274"/>
    <w:lvl w:ilvl="0" w:tplc="6F7AFE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A0C5E"/>
    <w:multiLevelType w:val="hybridMultilevel"/>
    <w:tmpl w:val="365239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539F3"/>
    <w:multiLevelType w:val="hybridMultilevel"/>
    <w:tmpl w:val="ABCC61B2"/>
    <w:lvl w:ilvl="0" w:tplc="6F7AFE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D21AA"/>
    <w:multiLevelType w:val="hybridMultilevel"/>
    <w:tmpl w:val="80F0D7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8211A"/>
    <w:multiLevelType w:val="hybridMultilevel"/>
    <w:tmpl w:val="1AE066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A5ED2"/>
    <w:multiLevelType w:val="hybridMultilevel"/>
    <w:tmpl w:val="AF5E4BE4"/>
    <w:lvl w:ilvl="0" w:tplc="4DCAD50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F91058"/>
    <w:multiLevelType w:val="hybridMultilevel"/>
    <w:tmpl w:val="588C65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D12E3"/>
    <w:multiLevelType w:val="hybridMultilevel"/>
    <w:tmpl w:val="7FD479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16985"/>
    <w:multiLevelType w:val="hybridMultilevel"/>
    <w:tmpl w:val="E3C6A1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73154"/>
    <w:multiLevelType w:val="hybridMultilevel"/>
    <w:tmpl w:val="0CD8FD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F7B5D"/>
    <w:multiLevelType w:val="hybridMultilevel"/>
    <w:tmpl w:val="819CD890"/>
    <w:lvl w:ilvl="0" w:tplc="4DCAD50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AA2035"/>
    <w:multiLevelType w:val="hybridMultilevel"/>
    <w:tmpl w:val="ADA8A0B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C164A2"/>
    <w:multiLevelType w:val="hybridMultilevel"/>
    <w:tmpl w:val="C1902A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71F31"/>
    <w:multiLevelType w:val="hybridMultilevel"/>
    <w:tmpl w:val="C8E8E6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12C6E"/>
    <w:multiLevelType w:val="hybridMultilevel"/>
    <w:tmpl w:val="22AED7F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4536F"/>
    <w:multiLevelType w:val="hybridMultilevel"/>
    <w:tmpl w:val="25F6C4C0"/>
    <w:lvl w:ilvl="0" w:tplc="4DCAD50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EC7397"/>
    <w:multiLevelType w:val="hybridMultilevel"/>
    <w:tmpl w:val="73867ED8"/>
    <w:lvl w:ilvl="0" w:tplc="0CA46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8A88E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805E17"/>
    <w:multiLevelType w:val="hybridMultilevel"/>
    <w:tmpl w:val="DACEC06E"/>
    <w:lvl w:ilvl="0" w:tplc="4DCAD50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22C60"/>
    <w:multiLevelType w:val="hybridMultilevel"/>
    <w:tmpl w:val="227408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918FC"/>
    <w:multiLevelType w:val="hybridMultilevel"/>
    <w:tmpl w:val="84DC4B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82AF0"/>
    <w:multiLevelType w:val="hybridMultilevel"/>
    <w:tmpl w:val="D74ADE5A"/>
    <w:lvl w:ilvl="0" w:tplc="4DCAD50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134CF5"/>
    <w:multiLevelType w:val="hybridMultilevel"/>
    <w:tmpl w:val="164E1C1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A674A"/>
    <w:multiLevelType w:val="multilevel"/>
    <w:tmpl w:val="374A9850"/>
    <w:lvl w:ilvl="0">
      <w:start w:val="1"/>
      <w:numFmt w:val="decimal"/>
      <w:suff w:val="space"/>
      <w:lvlText w:val="Capítulo %1 - 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suff w:val="nothing"/>
      <w:lvlText w:val="%2 - 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%3) "/>
      <w:lvlJc w:val="left"/>
      <w:pPr>
        <w:ind w:left="0" w:firstLine="0"/>
      </w:pPr>
      <w:rPr>
        <w:rFonts w:hint="default"/>
      </w:rPr>
    </w:lvl>
    <w:lvl w:ilvl="3">
      <w:start w:val="1"/>
      <w:numFmt w:val="upperRoman"/>
      <w:suff w:val="nothing"/>
      <w:lvlText w:val="%4 -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66F7DB0"/>
    <w:multiLevelType w:val="hybridMultilevel"/>
    <w:tmpl w:val="19845306"/>
    <w:lvl w:ilvl="0" w:tplc="4DCAD50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9B229C"/>
    <w:multiLevelType w:val="hybridMultilevel"/>
    <w:tmpl w:val="E4B22A82"/>
    <w:lvl w:ilvl="0" w:tplc="4DCAD50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516DD3"/>
    <w:multiLevelType w:val="hybridMultilevel"/>
    <w:tmpl w:val="3362A0C8"/>
    <w:lvl w:ilvl="0" w:tplc="4DCAD50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1E18F9"/>
    <w:multiLevelType w:val="hybridMultilevel"/>
    <w:tmpl w:val="73AE5286"/>
    <w:lvl w:ilvl="0" w:tplc="4DCAD50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B8601C"/>
    <w:multiLevelType w:val="hybridMultilevel"/>
    <w:tmpl w:val="CF348C4C"/>
    <w:lvl w:ilvl="0" w:tplc="4DCAD50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EF0CA6"/>
    <w:multiLevelType w:val="hybridMultilevel"/>
    <w:tmpl w:val="EC5874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569D4"/>
    <w:multiLevelType w:val="hybridMultilevel"/>
    <w:tmpl w:val="716A8ACC"/>
    <w:lvl w:ilvl="0" w:tplc="7018A6E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F577BE"/>
    <w:multiLevelType w:val="hybridMultilevel"/>
    <w:tmpl w:val="074E89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0"/>
  </w:num>
  <w:num w:numId="4">
    <w:abstractNumId w:val="32"/>
  </w:num>
  <w:num w:numId="5">
    <w:abstractNumId w:val="16"/>
  </w:num>
  <w:num w:numId="6">
    <w:abstractNumId w:val="21"/>
  </w:num>
  <w:num w:numId="7">
    <w:abstractNumId w:val="11"/>
  </w:num>
  <w:num w:numId="8">
    <w:abstractNumId w:val="0"/>
  </w:num>
  <w:num w:numId="9">
    <w:abstractNumId w:val="33"/>
  </w:num>
  <w:num w:numId="10">
    <w:abstractNumId w:val="26"/>
  </w:num>
  <w:num w:numId="11">
    <w:abstractNumId w:val="31"/>
  </w:num>
  <w:num w:numId="12">
    <w:abstractNumId w:val="8"/>
  </w:num>
  <w:num w:numId="13">
    <w:abstractNumId w:val="6"/>
  </w:num>
  <w:num w:numId="14">
    <w:abstractNumId w:val="3"/>
  </w:num>
  <w:num w:numId="15">
    <w:abstractNumId w:val="35"/>
  </w:num>
  <w:num w:numId="16">
    <w:abstractNumId w:val="20"/>
  </w:num>
  <w:num w:numId="17">
    <w:abstractNumId w:val="17"/>
  </w:num>
  <w:num w:numId="18">
    <w:abstractNumId w:val="27"/>
  </w:num>
  <w:num w:numId="19">
    <w:abstractNumId w:val="29"/>
  </w:num>
  <w:num w:numId="20">
    <w:abstractNumId w:val="23"/>
  </w:num>
  <w:num w:numId="21">
    <w:abstractNumId w:val="22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28"/>
  </w:num>
  <w:num w:numId="35">
    <w:abstractNumId w:val="2"/>
  </w:num>
  <w:num w:numId="36">
    <w:abstractNumId w:val="9"/>
  </w:num>
  <w:num w:numId="37">
    <w:abstractNumId w:val="13"/>
  </w:num>
  <w:num w:numId="38">
    <w:abstractNumId w:val="7"/>
  </w:num>
  <w:num w:numId="39">
    <w:abstractNumId w:val="18"/>
  </w:num>
  <w:num w:numId="40">
    <w:abstractNumId w:val="36"/>
  </w:num>
  <w:num w:numId="41">
    <w:abstractNumId w:val="19"/>
  </w:num>
  <w:num w:numId="42">
    <w:abstractNumId w:val="14"/>
  </w:num>
  <w:num w:numId="43">
    <w:abstractNumId w:val="10"/>
  </w:num>
  <w:num w:numId="44">
    <w:abstractNumId w:val="34"/>
  </w:num>
  <w:num w:numId="45">
    <w:abstractNumId w:val="25"/>
  </w:num>
  <w:num w:numId="46">
    <w:abstractNumId w:val="15"/>
  </w:num>
  <w:num w:numId="47">
    <w:abstractNumId w:val="12"/>
  </w:num>
  <w:num w:numId="48">
    <w:abstractNumId w:val="2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c6c6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62"/>
    <w:rsid w:val="00002BB2"/>
    <w:rsid w:val="00004776"/>
    <w:rsid w:val="00006315"/>
    <w:rsid w:val="00007FFE"/>
    <w:rsid w:val="00010560"/>
    <w:rsid w:val="000126AC"/>
    <w:rsid w:val="00012A0C"/>
    <w:rsid w:val="00013877"/>
    <w:rsid w:val="00014171"/>
    <w:rsid w:val="000155EF"/>
    <w:rsid w:val="00016632"/>
    <w:rsid w:val="00021286"/>
    <w:rsid w:val="000215BE"/>
    <w:rsid w:val="00022666"/>
    <w:rsid w:val="00022725"/>
    <w:rsid w:val="00022D28"/>
    <w:rsid w:val="00022DB8"/>
    <w:rsid w:val="00023677"/>
    <w:rsid w:val="00033BCE"/>
    <w:rsid w:val="00034AFE"/>
    <w:rsid w:val="000375A3"/>
    <w:rsid w:val="0003760A"/>
    <w:rsid w:val="0003770F"/>
    <w:rsid w:val="000400B9"/>
    <w:rsid w:val="000426DA"/>
    <w:rsid w:val="000456C2"/>
    <w:rsid w:val="00046BE7"/>
    <w:rsid w:val="000473EF"/>
    <w:rsid w:val="00050315"/>
    <w:rsid w:val="00050603"/>
    <w:rsid w:val="000509D3"/>
    <w:rsid w:val="00050D2D"/>
    <w:rsid w:val="00051154"/>
    <w:rsid w:val="0005481E"/>
    <w:rsid w:val="000549F2"/>
    <w:rsid w:val="00056EB9"/>
    <w:rsid w:val="00056EC1"/>
    <w:rsid w:val="00062AB0"/>
    <w:rsid w:val="00063C74"/>
    <w:rsid w:val="0006437B"/>
    <w:rsid w:val="0007079D"/>
    <w:rsid w:val="0007117E"/>
    <w:rsid w:val="00072944"/>
    <w:rsid w:val="00075F77"/>
    <w:rsid w:val="00076EF4"/>
    <w:rsid w:val="0008170F"/>
    <w:rsid w:val="00081D4C"/>
    <w:rsid w:val="00083A62"/>
    <w:rsid w:val="00083E08"/>
    <w:rsid w:val="00087FC7"/>
    <w:rsid w:val="000903DC"/>
    <w:rsid w:val="0009112D"/>
    <w:rsid w:val="00091918"/>
    <w:rsid w:val="000944F4"/>
    <w:rsid w:val="000A13E6"/>
    <w:rsid w:val="000A3333"/>
    <w:rsid w:val="000A3662"/>
    <w:rsid w:val="000A6826"/>
    <w:rsid w:val="000B0D71"/>
    <w:rsid w:val="000B4F95"/>
    <w:rsid w:val="000B4FA5"/>
    <w:rsid w:val="000B60E3"/>
    <w:rsid w:val="000C088A"/>
    <w:rsid w:val="000C18CA"/>
    <w:rsid w:val="000C24BD"/>
    <w:rsid w:val="000C3570"/>
    <w:rsid w:val="000C39A8"/>
    <w:rsid w:val="000C592F"/>
    <w:rsid w:val="000C68BB"/>
    <w:rsid w:val="000C702C"/>
    <w:rsid w:val="000D0177"/>
    <w:rsid w:val="000D1F8D"/>
    <w:rsid w:val="000D2F26"/>
    <w:rsid w:val="000D37BC"/>
    <w:rsid w:val="000D6792"/>
    <w:rsid w:val="000D689F"/>
    <w:rsid w:val="000E11B0"/>
    <w:rsid w:val="000E2C63"/>
    <w:rsid w:val="000E41EA"/>
    <w:rsid w:val="000E4800"/>
    <w:rsid w:val="000E5272"/>
    <w:rsid w:val="000E68EB"/>
    <w:rsid w:val="000E6DB2"/>
    <w:rsid w:val="000E7851"/>
    <w:rsid w:val="000E7C3D"/>
    <w:rsid w:val="000F2E1F"/>
    <w:rsid w:val="000F78CF"/>
    <w:rsid w:val="000F79D5"/>
    <w:rsid w:val="0010113D"/>
    <w:rsid w:val="001013E6"/>
    <w:rsid w:val="00101984"/>
    <w:rsid w:val="00102A75"/>
    <w:rsid w:val="0010473F"/>
    <w:rsid w:val="001050D5"/>
    <w:rsid w:val="00110DDB"/>
    <w:rsid w:val="0012011B"/>
    <w:rsid w:val="00122281"/>
    <w:rsid w:val="00122796"/>
    <w:rsid w:val="0012289C"/>
    <w:rsid w:val="001253B5"/>
    <w:rsid w:val="00125ED1"/>
    <w:rsid w:val="00127072"/>
    <w:rsid w:val="00132035"/>
    <w:rsid w:val="001329FD"/>
    <w:rsid w:val="0013460B"/>
    <w:rsid w:val="0013525A"/>
    <w:rsid w:val="00135E31"/>
    <w:rsid w:val="001366A5"/>
    <w:rsid w:val="001415DF"/>
    <w:rsid w:val="00144051"/>
    <w:rsid w:val="001444AA"/>
    <w:rsid w:val="00144BAC"/>
    <w:rsid w:val="0014516B"/>
    <w:rsid w:val="00146A2E"/>
    <w:rsid w:val="00151D29"/>
    <w:rsid w:val="0015219C"/>
    <w:rsid w:val="00153ACD"/>
    <w:rsid w:val="00162EF0"/>
    <w:rsid w:val="001663CF"/>
    <w:rsid w:val="00171456"/>
    <w:rsid w:val="00171ECA"/>
    <w:rsid w:val="00174680"/>
    <w:rsid w:val="00174E3C"/>
    <w:rsid w:val="00175613"/>
    <w:rsid w:val="00176B60"/>
    <w:rsid w:val="00180692"/>
    <w:rsid w:val="0018407E"/>
    <w:rsid w:val="001866BE"/>
    <w:rsid w:val="00187650"/>
    <w:rsid w:val="00187705"/>
    <w:rsid w:val="001909D3"/>
    <w:rsid w:val="00191EC6"/>
    <w:rsid w:val="00194F6D"/>
    <w:rsid w:val="00195734"/>
    <w:rsid w:val="00197101"/>
    <w:rsid w:val="001A1624"/>
    <w:rsid w:val="001A2096"/>
    <w:rsid w:val="001A2AB2"/>
    <w:rsid w:val="001B0E35"/>
    <w:rsid w:val="001B7F51"/>
    <w:rsid w:val="001C14C5"/>
    <w:rsid w:val="001C26C5"/>
    <w:rsid w:val="001C2FD0"/>
    <w:rsid w:val="001C623A"/>
    <w:rsid w:val="001C65E0"/>
    <w:rsid w:val="001C66D8"/>
    <w:rsid w:val="001D0C43"/>
    <w:rsid w:val="001D1FCC"/>
    <w:rsid w:val="001D3B19"/>
    <w:rsid w:val="001D4FEB"/>
    <w:rsid w:val="001D5AC9"/>
    <w:rsid w:val="001D640E"/>
    <w:rsid w:val="001D7FAE"/>
    <w:rsid w:val="001E61E4"/>
    <w:rsid w:val="001E76F1"/>
    <w:rsid w:val="001F0B69"/>
    <w:rsid w:val="001F134E"/>
    <w:rsid w:val="001F1DEA"/>
    <w:rsid w:val="001F3A5D"/>
    <w:rsid w:val="001F4256"/>
    <w:rsid w:val="001F5012"/>
    <w:rsid w:val="001F502B"/>
    <w:rsid w:val="001F56E5"/>
    <w:rsid w:val="00201B9B"/>
    <w:rsid w:val="00203546"/>
    <w:rsid w:val="00205E6F"/>
    <w:rsid w:val="00206580"/>
    <w:rsid w:val="00210487"/>
    <w:rsid w:val="002141A5"/>
    <w:rsid w:val="00214F14"/>
    <w:rsid w:val="00214F8F"/>
    <w:rsid w:val="002150EC"/>
    <w:rsid w:val="00215DE7"/>
    <w:rsid w:val="002162AF"/>
    <w:rsid w:val="00220067"/>
    <w:rsid w:val="00220B1F"/>
    <w:rsid w:val="002242F1"/>
    <w:rsid w:val="00224BB2"/>
    <w:rsid w:val="00224D73"/>
    <w:rsid w:val="002278B1"/>
    <w:rsid w:val="00227EBF"/>
    <w:rsid w:val="002302AE"/>
    <w:rsid w:val="00230979"/>
    <w:rsid w:val="00231229"/>
    <w:rsid w:val="002329DB"/>
    <w:rsid w:val="0023515D"/>
    <w:rsid w:val="0023578A"/>
    <w:rsid w:val="00244399"/>
    <w:rsid w:val="00246964"/>
    <w:rsid w:val="002503CA"/>
    <w:rsid w:val="0025226A"/>
    <w:rsid w:val="00252903"/>
    <w:rsid w:val="00253B40"/>
    <w:rsid w:val="002548E2"/>
    <w:rsid w:val="002576D9"/>
    <w:rsid w:val="0026308E"/>
    <w:rsid w:val="00263AA7"/>
    <w:rsid w:val="00263C90"/>
    <w:rsid w:val="00264636"/>
    <w:rsid w:val="00264EE0"/>
    <w:rsid w:val="00265D22"/>
    <w:rsid w:val="00267829"/>
    <w:rsid w:val="00270006"/>
    <w:rsid w:val="00270324"/>
    <w:rsid w:val="00272ABF"/>
    <w:rsid w:val="00273194"/>
    <w:rsid w:val="0027505A"/>
    <w:rsid w:val="00275306"/>
    <w:rsid w:val="002758F9"/>
    <w:rsid w:val="00276539"/>
    <w:rsid w:val="00277835"/>
    <w:rsid w:val="002807D6"/>
    <w:rsid w:val="00280AB9"/>
    <w:rsid w:val="00280F8B"/>
    <w:rsid w:val="002814C9"/>
    <w:rsid w:val="002829B0"/>
    <w:rsid w:val="00285C8C"/>
    <w:rsid w:val="00285F78"/>
    <w:rsid w:val="002951B8"/>
    <w:rsid w:val="00295BF3"/>
    <w:rsid w:val="002960E6"/>
    <w:rsid w:val="00296588"/>
    <w:rsid w:val="00297059"/>
    <w:rsid w:val="002A10D5"/>
    <w:rsid w:val="002A1330"/>
    <w:rsid w:val="002A1971"/>
    <w:rsid w:val="002A2582"/>
    <w:rsid w:val="002A2933"/>
    <w:rsid w:val="002A2EA1"/>
    <w:rsid w:val="002A4673"/>
    <w:rsid w:val="002A5C4E"/>
    <w:rsid w:val="002A5DD3"/>
    <w:rsid w:val="002B1BD6"/>
    <w:rsid w:val="002B515B"/>
    <w:rsid w:val="002C0152"/>
    <w:rsid w:val="002C189E"/>
    <w:rsid w:val="002C31F0"/>
    <w:rsid w:val="002C3810"/>
    <w:rsid w:val="002C3A25"/>
    <w:rsid w:val="002C4181"/>
    <w:rsid w:val="002C4C17"/>
    <w:rsid w:val="002C4C4E"/>
    <w:rsid w:val="002C50E3"/>
    <w:rsid w:val="002C55CB"/>
    <w:rsid w:val="002C75CE"/>
    <w:rsid w:val="002C79C6"/>
    <w:rsid w:val="002D07B5"/>
    <w:rsid w:val="002D29B3"/>
    <w:rsid w:val="002D2D68"/>
    <w:rsid w:val="002D3256"/>
    <w:rsid w:val="002D5426"/>
    <w:rsid w:val="002D5B80"/>
    <w:rsid w:val="002D5CBF"/>
    <w:rsid w:val="002D7B9A"/>
    <w:rsid w:val="002D7DAB"/>
    <w:rsid w:val="002E0A1D"/>
    <w:rsid w:val="002E0F15"/>
    <w:rsid w:val="002E1454"/>
    <w:rsid w:val="002E31C4"/>
    <w:rsid w:val="002E3AC3"/>
    <w:rsid w:val="002E5469"/>
    <w:rsid w:val="002E5A33"/>
    <w:rsid w:val="002E7CD2"/>
    <w:rsid w:val="002F16C4"/>
    <w:rsid w:val="002F2A09"/>
    <w:rsid w:val="002F68EC"/>
    <w:rsid w:val="002F7B7A"/>
    <w:rsid w:val="0030076F"/>
    <w:rsid w:val="00301A32"/>
    <w:rsid w:val="003028D6"/>
    <w:rsid w:val="0030370A"/>
    <w:rsid w:val="003043A8"/>
    <w:rsid w:val="00306A18"/>
    <w:rsid w:val="00310093"/>
    <w:rsid w:val="003146B2"/>
    <w:rsid w:val="003151E0"/>
    <w:rsid w:val="00315B89"/>
    <w:rsid w:val="003176FF"/>
    <w:rsid w:val="003177E3"/>
    <w:rsid w:val="00321F76"/>
    <w:rsid w:val="00322C01"/>
    <w:rsid w:val="003245D5"/>
    <w:rsid w:val="00325558"/>
    <w:rsid w:val="00325E91"/>
    <w:rsid w:val="00326BCC"/>
    <w:rsid w:val="00327FB3"/>
    <w:rsid w:val="003300D7"/>
    <w:rsid w:val="00330EBE"/>
    <w:rsid w:val="003320AA"/>
    <w:rsid w:val="00332DF3"/>
    <w:rsid w:val="003335CD"/>
    <w:rsid w:val="003350B4"/>
    <w:rsid w:val="00342314"/>
    <w:rsid w:val="00345A0F"/>
    <w:rsid w:val="003503ED"/>
    <w:rsid w:val="00350646"/>
    <w:rsid w:val="00351BBD"/>
    <w:rsid w:val="003523A1"/>
    <w:rsid w:val="00352673"/>
    <w:rsid w:val="003546ED"/>
    <w:rsid w:val="00354BBB"/>
    <w:rsid w:val="00354C3C"/>
    <w:rsid w:val="00354C8C"/>
    <w:rsid w:val="003560BA"/>
    <w:rsid w:val="003611D6"/>
    <w:rsid w:val="00361563"/>
    <w:rsid w:val="0036213B"/>
    <w:rsid w:val="00364AF6"/>
    <w:rsid w:val="003671A8"/>
    <w:rsid w:val="0036777A"/>
    <w:rsid w:val="0037075B"/>
    <w:rsid w:val="00370E47"/>
    <w:rsid w:val="00372246"/>
    <w:rsid w:val="00377412"/>
    <w:rsid w:val="003813AD"/>
    <w:rsid w:val="00382B11"/>
    <w:rsid w:val="00385C8C"/>
    <w:rsid w:val="003874FC"/>
    <w:rsid w:val="0039002B"/>
    <w:rsid w:val="003907C7"/>
    <w:rsid w:val="00390D47"/>
    <w:rsid w:val="0039118C"/>
    <w:rsid w:val="00391AAB"/>
    <w:rsid w:val="003943A7"/>
    <w:rsid w:val="003A06D6"/>
    <w:rsid w:val="003A0E31"/>
    <w:rsid w:val="003A21F5"/>
    <w:rsid w:val="003A2AFA"/>
    <w:rsid w:val="003A30CB"/>
    <w:rsid w:val="003A54B0"/>
    <w:rsid w:val="003B1E85"/>
    <w:rsid w:val="003B2983"/>
    <w:rsid w:val="003B303E"/>
    <w:rsid w:val="003B462D"/>
    <w:rsid w:val="003B5A47"/>
    <w:rsid w:val="003B793A"/>
    <w:rsid w:val="003B7A52"/>
    <w:rsid w:val="003C3AC5"/>
    <w:rsid w:val="003C4364"/>
    <w:rsid w:val="003C47A8"/>
    <w:rsid w:val="003C676D"/>
    <w:rsid w:val="003C74B9"/>
    <w:rsid w:val="003D4F99"/>
    <w:rsid w:val="003D78C9"/>
    <w:rsid w:val="003E0DD8"/>
    <w:rsid w:val="003E35B1"/>
    <w:rsid w:val="003E5F29"/>
    <w:rsid w:val="003E64E4"/>
    <w:rsid w:val="003E6F4B"/>
    <w:rsid w:val="003E77F1"/>
    <w:rsid w:val="003E7C8A"/>
    <w:rsid w:val="003F1193"/>
    <w:rsid w:val="003F12C9"/>
    <w:rsid w:val="003F3689"/>
    <w:rsid w:val="003F4DC6"/>
    <w:rsid w:val="003F583D"/>
    <w:rsid w:val="003F6279"/>
    <w:rsid w:val="003F717C"/>
    <w:rsid w:val="003F769E"/>
    <w:rsid w:val="00401577"/>
    <w:rsid w:val="00402657"/>
    <w:rsid w:val="00405D54"/>
    <w:rsid w:val="00406017"/>
    <w:rsid w:val="00410823"/>
    <w:rsid w:val="00411AAB"/>
    <w:rsid w:val="00411D7D"/>
    <w:rsid w:val="00411ECE"/>
    <w:rsid w:val="00412594"/>
    <w:rsid w:val="00412F67"/>
    <w:rsid w:val="0042010F"/>
    <w:rsid w:val="0042312F"/>
    <w:rsid w:val="00426CD4"/>
    <w:rsid w:val="00431C84"/>
    <w:rsid w:val="0043284F"/>
    <w:rsid w:val="00433945"/>
    <w:rsid w:val="00433953"/>
    <w:rsid w:val="00434CFE"/>
    <w:rsid w:val="0043503A"/>
    <w:rsid w:val="00436142"/>
    <w:rsid w:val="00436C25"/>
    <w:rsid w:val="00436EC8"/>
    <w:rsid w:val="00437B17"/>
    <w:rsid w:val="0044060E"/>
    <w:rsid w:val="00443DE9"/>
    <w:rsid w:val="00444852"/>
    <w:rsid w:val="0044505B"/>
    <w:rsid w:val="00446DB0"/>
    <w:rsid w:val="00453E8B"/>
    <w:rsid w:val="004545A3"/>
    <w:rsid w:val="00454B1F"/>
    <w:rsid w:val="0045671E"/>
    <w:rsid w:val="00457BD1"/>
    <w:rsid w:val="004634C9"/>
    <w:rsid w:val="00466B9D"/>
    <w:rsid w:val="00470A2F"/>
    <w:rsid w:val="004710BB"/>
    <w:rsid w:val="00471B75"/>
    <w:rsid w:val="00472775"/>
    <w:rsid w:val="00476851"/>
    <w:rsid w:val="00476E24"/>
    <w:rsid w:val="0047718F"/>
    <w:rsid w:val="00477A49"/>
    <w:rsid w:val="004800FB"/>
    <w:rsid w:val="00483A0C"/>
    <w:rsid w:val="004843C6"/>
    <w:rsid w:val="00484681"/>
    <w:rsid w:val="00484694"/>
    <w:rsid w:val="00485E6F"/>
    <w:rsid w:val="00491A4B"/>
    <w:rsid w:val="004974E4"/>
    <w:rsid w:val="004A02F4"/>
    <w:rsid w:val="004A1C97"/>
    <w:rsid w:val="004A3CF7"/>
    <w:rsid w:val="004A7B00"/>
    <w:rsid w:val="004B1630"/>
    <w:rsid w:val="004B36EF"/>
    <w:rsid w:val="004B3D14"/>
    <w:rsid w:val="004B5005"/>
    <w:rsid w:val="004B624C"/>
    <w:rsid w:val="004B63A3"/>
    <w:rsid w:val="004C1C55"/>
    <w:rsid w:val="004C28DA"/>
    <w:rsid w:val="004C2EE3"/>
    <w:rsid w:val="004C4ED0"/>
    <w:rsid w:val="004C5C3F"/>
    <w:rsid w:val="004C6AAC"/>
    <w:rsid w:val="004D0436"/>
    <w:rsid w:val="004D0E0A"/>
    <w:rsid w:val="004D1215"/>
    <w:rsid w:val="004D4415"/>
    <w:rsid w:val="004D737E"/>
    <w:rsid w:val="004D746F"/>
    <w:rsid w:val="004E0AD4"/>
    <w:rsid w:val="004E14FF"/>
    <w:rsid w:val="004E1C41"/>
    <w:rsid w:val="004E1F83"/>
    <w:rsid w:val="004E4490"/>
    <w:rsid w:val="004E60B3"/>
    <w:rsid w:val="004E6137"/>
    <w:rsid w:val="004E6224"/>
    <w:rsid w:val="004E6A33"/>
    <w:rsid w:val="004E6D1C"/>
    <w:rsid w:val="004E7DB1"/>
    <w:rsid w:val="004E7FF6"/>
    <w:rsid w:val="004F0091"/>
    <w:rsid w:val="004F0197"/>
    <w:rsid w:val="004F1248"/>
    <w:rsid w:val="004F1DEA"/>
    <w:rsid w:val="004F2A8E"/>
    <w:rsid w:val="004F471F"/>
    <w:rsid w:val="004F60F4"/>
    <w:rsid w:val="004F71CC"/>
    <w:rsid w:val="004F75CB"/>
    <w:rsid w:val="004F7A01"/>
    <w:rsid w:val="00500806"/>
    <w:rsid w:val="00500D37"/>
    <w:rsid w:val="00502053"/>
    <w:rsid w:val="005021EE"/>
    <w:rsid w:val="00503A31"/>
    <w:rsid w:val="005067E5"/>
    <w:rsid w:val="00510343"/>
    <w:rsid w:val="00510436"/>
    <w:rsid w:val="005105C7"/>
    <w:rsid w:val="00510D27"/>
    <w:rsid w:val="00511DC2"/>
    <w:rsid w:val="00514E4C"/>
    <w:rsid w:val="00515304"/>
    <w:rsid w:val="00515BC4"/>
    <w:rsid w:val="00516A80"/>
    <w:rsid w:val="00521C9C"/>
    <w:rsid w:val="005221EE"/>
    <w:rsid w:val="00524133"/>
    <w:rsid w:val="00527766"/>
    <w:rsid w:val="00531BE2"/>
    <w:rsid w:val="00532A51"/>
    <w:rsid w:val="00532EF1"/>
    <w:rsid w:val="00533690"/>
    <w:rsid w:val="00534222"/>
    <w:rsid w:val="0054127E"/>
    <w:rsid w:val="00541FB9"/>
    <w:rsid w:val="0055232E"/>
    <w:rsid w:val="00552966"/>
    <w:rsid w:val="00554365"/>
    <w:rsid w:val="00554511"/>
    <w:rsid w:val="00554C0E"/>
    <w:rsid w:val="0055593A"/>
    <w:rsid w:val="00555FC9"/>
    <w:rsid w:val="00560B87"/>
    <w:rsid w:val="005645FB"/>
    <w:rsid w:val="005650DA"/>
    <w:rsid w:val="005659BA"/>
    <w:rsid w:val="00570261"/>
    <w:rsid w:val="0057097C"/>
    <w:rsid w:val="005734E1"/>
    <w:rsid w:val="00573654"/>
    <w:rsid w:val="005736B3"/>
    <w:rsid w:val="0057405B"/>
    <w:rsid w:val="005746E2"/>
    <w:rsid w:val="00577599"/>
    <w:rsid w:val="00583BCE"/>
    <w:rsid w:val="00590187"/>
    <w:rsid w:val="00590245"/>
    <w:rsid w:val="00590743"/>
    <w:rsid w:val="005929E8"/>
    <w:rsid w:val="00593349"/>
    <w:rsid w:val="005955FA"/>
    <w:rsid w:val="005A0DAE"/>
    <w:rsid w:val="005A1015"/>
    <w:rsid w:val="005A1518"/>
    <w:rsid w:val="005A1E4B"/>
    <w:rsid w:val="005A4B61"/>
    <w:rsid w:val="005A4DF2"/>
    <w:rsid w:val="005A55C1"/>
    <w:rsid w:val="005A65DD"/>
    <w:rsid w:val="005B1025"/>
    <w:rsid w:val="005B43A9"/>
    <w:rsid w:val="005B481A"/>
    <w:rsid w:val="005B49A1"/>
    <w:rsid w:val="005B7C18"/>
    <w:rsid w:val="005C2614"/>
    <w:rsid w:val="005C37BF"/>
    <w:rsid w:val="005C49C7"/>
    <w:rsid w:val="005C5B7F"/>
    <w:rsid w:val="005C6E08"/>
    <w:rsid w:val="005D15EE"/>
    <w:rsid w:val="005D1C8E"/>
    <w:rsid w:val="005D20EA"/>
    <w:rsid w:val="005D48B4"/>
    <w:rsid w:val="005E3551"/>
    <w:rsid w:val="005E4293"/>
    <w:rsid w:val="005F236A"/>
    <w:rsid w:val="005F357C"/>
    <w:rsid w:val="005F4336"/>
    <w:rsid w:val="005F498F"/>
    <w:rsid w:val="005F5335"/>
    <w:rsid w:val="005F67EC"/>
    <w:rsid w:val="006032C8"/>
    <w:rsid w:val="00604AF0"/>
    <w:rsid w:val="006057AC"/>
    <w:rsid w:val="006064E7"/>
    <w:rsid w:val="00607065"/>
    <w:rsid w:val="00610E7C"/>
    <w:rsid w:val="0061144C"/>
    <w:rsid w:val="00611F9D"/>
    <w:rsid w:val="00612A24"/>
    <w:rsid w:val="00613768"/>
    <w:rsid w:val="00620586"/>
    <w:rsid w:val="006222D2"/>
    <w:rsid w:val="00623808"/>
    <w:rsid w:val="006238D0"/>
    <w:rsid w:val="006249E6"/>
    <w:rsid w:val="006272D1"/>
    <w:rsid w:val="006273C5"/>
    <w:rsid w:val="0062744E"/>
    <w:rsid w:val="00627701"/>
    <w:rsid w:val="00627EEF"/>
    <w:rsid w:val="006303CB"/>
    <w:rsid w:val="00631626"/>
    <w:rsid w:val="0063197F"/>
    <w:rsid w:val="00632BA5"/>
    <w:rsid w:val="006342F2"/>
    <w:rsid w:val="00634DF2"/>
    <w:rsid w:val="00635250"/>
    <w:rsid w:val="006361AB"/>
    <w:rsid w:val="0063634E"/>
    <w:rsid w:val="00636691"/>
    <w:rsid w:val="00642F25"/>
    <w:rsid w:val="00643EB6"/>
    <w:rsid w:val="006440EB"/>
    <w:rsid w:val="00650B31"/>
    <w:rsid w:val="00651616"/>
    <w:rsid w:val="006537B1"/>
    <w:rsid w:val="00660807"/>
    <w:rsid w:val="006704AF"/>
    <w:rsid w:val="0067058E"/>
    <w:rsid w:val="0067063D"/>
    <w:rsid w:val="0067071C"/>
    <w:rsid w:val="00670D30"/>
    <w:rsid w:val="0067135C"/>
    <w:rsid w:val="00672768"/>
    <w:rsid w:val="006727B1"/>
    <w:rsid w:val="0067578F"/>
    <w:rsid w:val="00676832"/>
    <w:rsid w:val="00680E45"/>
    <w:rsid w:val="00682A5C"/>
    <w:rsid w:val="00682DE6"/>
    <w:rsid w:val="006856D4"/>
    <w:rsid w:val="00685D70"/>
    <w:rsid w:val="00687C1D"/>
    <w:rsid w:val="00687D47"/>
    <w:rsid w:val="00690917"/>
    <w:rsid w:val="00692EAB"/>
    <w:rsid w:val="0069318E"/>
    <w:rsid w:val="00696DFE"/>
    <w:rsid w:val="00697184"/>
    <w:rsid w:val="00697CD5"/>
    <w:rsid w:val="006A01DD"/>
    <w:rsid w:val="006A0856"/>
    <w:rsid w:val="006A08C0"/>
    <w:rsid w:val="006A1019"/>
    <w:rsid w:val="006A27E3"/>
    <w:rsid w:val="006A2877"/>
    <w:rsid w:val="006A38B5"/>
    <w:rsid w:val="006A6E0E"/>
    <w:rsid w:val="006A7311"/>
    <w:rsid w:val="006A7376"/>
    <w:rsid w:val="006A73C2"/>
    <w:rsid w:val="006A79D7"/>
    <w:rsid w:val="006B0207"/>
    <w:rsid w:val="006B1933"/>
    <w:rsid w:val="006C08CD"/>
    <w:rsid w:val="006C0A88"/>
    <w:rsid w:val="006C235B"/>
    <w:rsid w:val="006C3723"/>
    <w:rsid w:val="006C38D7"/>
    <w:rsid w:val="006C3E2C"/>
    <w:rsid w:val="006D0097"/>
    <w:rsid w:val="006D10E1"/>
    <w:rsid w:val="006D3B37"/>
    <w:rsid w:val="006D4BB5"/>
    <w:rsid w:val="006D59CC"/>
    <w:rsid w:val="006D6740"/>
    <w:rsid w:val="006D6B8E"/>
    <w:rsid w:val="006E01B7"/>
    <w:rsid w:val="006E104A"/>
    <w:rsid w:val="006E3141"/>
    <w:rsid w:val="006E62E6"/>
    <w:rsid w:val="006E691A"/>
    <w:rsid w:val="006E76DD"/>
    <w:rsid w:val="006F088A"/>
    <w:rsid w:val="006F1E9D"/>
    <w:rsid w:val="006F4D58"/>
    <w:rsid w:val="006F730F"/>
    <w:rsid w:val="00702AC4"/>
    <w:rsid w:val="00703DC9"/>
    <w:rsid w:val="00706E34"/>
    <w:rsid w:val="00714254"/>
    <w:rsid w:val="007162CB"/>
    <w:rsid w:val="0071733C"/>
    <w:rsid w:val="007175B1"/>
    <w:rsid w:val="00717A0F"/>
    <w:rsid w:val="0072333B"/>
    <w:rsid w:val="007241F2"/>
    <w:rsid w:val="00725781"/>
    <w:rsid w:val="00725A23"/>
    <w:rsid w:val="00727E8B"/>
    <w:rsid w:val="007318C3"/>
    <w:rsid w:val="007326B7"/>
    <w:rsid w:val="00734286"/>
    <w:rsid w:val="00734465"/>
    <w:rsid w:val="007349C2"/>
    <w:rsid w:val="00734F5B"/>
    <w:rsid w:val="007350D3"/>
    <w:rsid w:val="00742447"/>
    <w:rsid w:val="00743AA0"/>
    <w:rsid w:val="0074750F"/>
    <w:rsid w:val="00751C22"/>
    <w:rsid w:val="00752318"/>
    <w:rsid w:val="007551DF"/>
    <w:rsid w:val="00755ADE"/>
    <w:rsid w:val="007600E1"/>
    <w:rsid w:val="00761940"/>
    <w:rsid w:val="00762D02"/>
    <w:rsid w:val="00762F10"/>
    <w:rsid w:val="00763062"/>
    <w:rsid w:val="00763EA5"/>
    <w:rsid w:val="00765A60"/>
    <w:rsid w:val="0076664F"/>
    <w:rsid w:val="00766884"/>
    <w:rsid w:val="007672E9"/>
    <w:rsid w:val="00767601"/>
    <w:rsid w:val="0077032C"/>
    <w:rsid w:val="00771A03"/>
    <w:rsid w:val="00771F88"/>
    <w:rsid w:val="007747E1"/>
    <w:rsid w:val="007764AE"/>
    <w:rsid w:val="00776784"/>
    <w:rsid w:val="00776FD3"/>
    <w:rsid w:val="007803FC"/>
    <w:rsid w:val="00780885"/>
    <w:rsid w:val="0078602D"/>
    <w:rsid w:val="007875A7"/>
    <w:rsid w:val="007903D5"/>
    <w:rsid w:val="00793EDB"/>
    <w:rsid w:val="00794410"/>
    <w:rsid w:val="00797AD0"/>
    <w:rsid w:val="007A0408"/>
    <w:rsid w:val="007A0424"/>
    <w:rsid w:val="007A43F2"/>
    <w:rsid w:val="007A4881"/>
    <w:rsid w:val="007A4B48"/>
    <w:rsid w:val="007A5689"/>
    <w:rsid w:val="007A6EBF"/>
    <w:rsid w:val="007A7994"/>
    <w:rsid w:val="007A7D4D"/>
    <w:rsid w:val="007A7D78"/>
    <w:rsid w:val="007B0CA7"/>
    <w:rsid w:val="007B24BD"/>
    <w:rsid w:val="007B2D6F"/>
    <w:rsid w:val="007B329D"/>
    <w:rsid w:val="007B3745"/>
    <w:rsid w:val="007B5063"/>
    <w:rsid w:val="007C06AE"/>
    <w:rsid w:val="007C1D98"/>
    <w:rsid w:val="007C1E8D"/>
    <w:rsid w:val="007C3064"/>
    <w:rsid w:val="007C4E7A"/>
    <w:rsid w:val="007C5C94"/>
    <w:rsid w:val="007C64C5"/>
    <w:rsid w:val="007D0B3A"/>
    <w:rsid w:val="007D368D"/>
    <w:rsid w:val="007D6043"/>
    <w:rsid w:val="007D7597"/>
    <w:rsid w:val="007E08B4"/>
    <w:rsid w:val="007E0AF3"/>
    <w:rsid w:val="007E1C64"/>
    <w:rsid w:val="007E6DFE"/>
    <w:rsid w:val="007F0E73"/>
    <w:rsid w:val="007F3C74"/>
    <w:rsid w:val="007F7D43"/>
    <w:rsid w:val="00802FE4"/>
    <w:rsid w:val="00805DCD"/>
    <w:rsid w:val="0080670E"/>
    <w:rsid w:val="0080671C"/>
    <w:rsid w:val="00807F6F"/>
    <w:rsid w:val="0081122B"/>
    <w:rsid w:val="0081218C"/>
    <w:rsid w:val="008123BE"/>
    <w:rsid w:val="008128BA"/>
    <w:rsid w:val="00812E70"/>
    <w:rsid w:val="00813FAA"/>
    <w:rsid w:val="00814776"/>
    <w:rsid w:val="008157EC"/>
    <w:rsid w:val="0081670B"/>
    <w:rsid w:val="0081694C"/>
    <w:rsid w:val="00816ABB"/>
    <w:rsid w:val="00817668"/>
    <w:rsid w:val="00821177"/>
    <w:rsid w:val="00821B82"/>
    <w:rsid w:val="008252F4"/>
    <w:rsid w:val="008267F3"/>
    <w:rsid w:val="0082772F"/>
    <w:rsid w:val="0083087F"/>
    <w:rsid w:val="00832153"/>
    <w:rsid w:val="00835446"/>
    <w:rsid w:val="00837A3A"/>
    <w:rsid w:val="008411A0"/>
    <w:rsid w:val="00841742"/>
    <w:rsid w:val="00844084"/>
    <w:rsid w:val="00845125"/>
    <w:rsid w:val="00845FD5"/>
    <w:rsid w:val="008477FA"/>
    <w:rsid w:val="0085047B"/>
    <w:rsid w:val="00850DE5"/>
    <w:rsid w:val="008552E8"/>
    <w:rsid w:val="0085578A"/>
    <w:rsid w:val="00860C34"/>
    <w:rsid w:val="00862A6D"/>
    <w:rsid w:val="00862B3F"/>
    <w:rsid w:val="008634AC"/>
    <w:rsid w:val="0086423E"/>
    <w:rsid w:val="00864984"/>
    <w:rsid w:val="00865A1E"/>
    <w:rsid w:val="00865FC4"/>
    <w:rsid w:val="008705FA"/>
    <w:rsid w:val="008724C1"/>
    <w:rsid w:val="00872B04"/>
    <w:rsid w:val="00872DEC"/>
    <w:rsid w:val="00874720"/>
    <w:rsid w:val="00874E73"/>
    <w:rsid w:val="0087557B"/>
    <w:rsid w:val="0087568A"/>
    <w:rsid w:val="008759BC"/>
    <w:rsid w:val="008775DB"/>
    <w:rsid w:val="0088119E"/>
    <w:rsid w:val="00882438"/>
    <w:rsid w:val="008838C2"/>
    <w:rsid w:val="00885838"/>
    <w:rsid w:val="0089078B"/>
    <w:rsid w:val="00891C8C"/>
    <w:rsid w:val="0089660E"/>
    <w:rsid w:val="00897810"/>
    <w:rsid w:val="008A08BB"/>
    <w:rsid w:val="008A0F07"/>
    <w:rsid w:val="008A11E0"/>
    <w:rsid w:val="008A216D"/>
    <w:rsid w:val="008A39E3"/>
    <w:rsid w:val="008A45F5"/>
    <w:rsid w:val="008A6306"/>
    <w:rsid w:val="008A67ED"/>
    <w:rsid w:val="008A6BC8"/>
    <w:rsid w:val="008B098A"/>
    <w:rsid w:val="008B3D02"/>
    <w:rsid w:val="008B62F1"/>
    <w:rsid w:val="008B772F"/>
    <w:rsid w:val="008C1AE0"/>
    <w:rsid w:val="008C44AF"/>
    <w:rsid w:val="008C4ADE"/>
    <w:rsid w:val="008C55CF"/>
    <w:rsid w:val="008C629C"/>
    <w:rsid w:val="008C6980"/>
    <w:rsid w:val="008D00DD"/>
    <w:rsid w:val="008D3606"/>
    <w:rsid w:val="008E5CD5"/>
    <w:rsid w:val="008E5EEF"/>
    <w:rsid w:val="008E5F09"/>
    <w:rsid w:val="008E660C"/>
    <w:rsid w:val="008F1076"/>
    <w:rsid w:val="008F140D"/>
    <w:rsid w:val="008F4058"/>
    <w:rsid w:val="008F4476"/>
    <w:rsid w:val="009003D1"/>
    <w:rsid w:val="009008FA"/>
    <w:rsid w:val="0090350C"/>
    <w:rsid w:val="00907022"/>
    <w:rsid w:val="00907602"/>
    <w:rsid w:val="009101D1"/>
    <w:rsid w:val="00912592"/>
    <w:rsid w:val="00912621"/>
    <w:rsid w:val="009142EC"/>
    <w:rsid w:val="00914BF2"/>
    <w:rsid w:val="00915B00"/>
    <w:rsid w:val="00920737"/>
    <w:rsid w:val="00921082"/>
    <w:rsid w:val="00921240"/>
    <w:rsid w:val="00922B3D"/>
    <w:rsid w:val="00925815"/>
    <w:rsid w:val="0092651F"/>
    <w:rsid w:val="009265BB"/>
    <w:rsid w:val="00930EC4"/>
    <w:rsid w:val="009327FE"/>
    <w:rsid w:val="009333D7"/>
    <w:rsid w:val="009353B2"/>
    <w:rsid w:val="00935D1A"/>
    <w:rsid w:val="00937B0C"/>
    <w:rsid w:val="00941C7A"/>
    <w:rsid w:val="009421EE"/>
    <w:rsid w:val="00944239"/>
    <w:rsid w:val="009468E4"/>
    <w:rsid w:val="00950BF2"/>
    <w:rsid w:val="009514DE"/>
    <w:rsid w:val="0095495F"/>
    <w:rsid w:val="00955045"/>
    <w:rsid w:val="00957B1A"/>
    <w:rsid w:val="009614B5"/>
    <w:rsid w:val="00962873"/>
    <w:rsid w:val="00962A92"/>
    <w:rsid w:val="00970871"/>
    <w:rsid w:val="00973050"/>
    <w:rsid w:val="00973481"/>
    <w:rsid w:val="009738D4"/>
    <w:rsid w:val="00974C17"/>
    <w:rsid w:val="009755A8"/>
    <w:rsid w:val="009775EF"/>
    <w:rsid w:val="009800F2"/>
    <w:rsid w:val="00982E64"/>
    <w:rsid w:val="0098431B"/>
    <w:rsid w:val="009849E7"/>
    <w:rsid w:val="009849F7"/>
    <w:rsid w:val="009855EC"/>
    <w:rsid w:val="0098732F"/>
    <w:rsid w:val="009909F3"/>
    <w:rsid w:val="009910DF"/>
    <w:rsid w:val="0099445B"/>
    <w:rsid w:val="009969E3"/>
    <w:rsid w:val="009A03FE"/>
    <w:rsid w:val="009A2E42"/>
    <w:rsid w:val="009A3527"/>
    <w:rsid w:val="009A4183"/>
    <w:rsid w:val="009A4E71"/>
    <w:rsid w:val="009A59BB"/>
    <w:rsid w:val="009A69AE"/>
    <w:rsid w:val="009B1779"/>
    <w:rsid w:val="009B2243"/>
    <w:rsid w:val="009B231F"/>
    <w:rsid w:val="009B2391"/>
    <w:rsid w:val="009B275C"/>
    <w:rsid w:val="009B35CA"/>
    <w:rsid w:val="009B3879"/>
    <w:rsid w:val="009B4935"/>
    <w:rsid w:val="009B79B3"/>
    <w:rsid w:val="009C3330"/>
    <w:rsid w:val="009C36CF"/>
    <w:rsid w:val="009C3E0C"/>
    <w:rsid w:val="009C6B58"/>
    <w:rsid w:val="009C7B54"/>
    <w:rsid w:val="009D04EA"/>
    <w:rsid w:val="009D1382"/>
    <w:rsid w:val="009D446A"/>
    <w:rsid w:val="009D58F7"/>
    <w:rsid w:val="009D5E5D"/>
    <w:rsid w:val="009D7006"/>
    <w:rsid w:val="009D7DEB"/>
    <w:rsid w:val="009D7F16"/>
    <w:rsid w:val="009E0454"/>
    <w:rsid w:val="009E1C61"/>
    <w:rsid w:val="009E1C62"/>
    <w:rsid w:val="009E277F"/>
    <w:rsid w:val="009E4969"/>
    <w:rsid w:val="009E5A7F"/>
    <w:rsid w:val="009E5C58"/>
    <w:rsid w:val="009E6068"/>
    <w:rsid w:val="009E7B85"/>
    <w:rsid w:val="009F297D"/>
    <w:rsid w:val="009F6126"/>
    <w:rsid w:val="009F6C33"/>
    <w:rsid w:val="00A01FF4"/>
    <w:rsid w:val="00A0258F"/>
    <w:rsid w:val="00A02C31"/>
    <w:rsid w:val="00A0573E"/>
    <w:rsid w:val="00A11660"/>
    <w:rsid w:val="00A11E78"/>
    <w:rsid w:val="00A14769"/>
    <w:rsid w:val="00A16CEC"/>
    <w:rsid w:val="00A16E08"/>
    <w:rsid w:val="00A20212"/>
    <w:rsid w:val="00A20482"/>
    <w:rsid w:val="00A212EA"/>
    <w:rsid w:val="00A25F3C"/>
    <w:rsid w:val="00A26702"/>
    <w:rsid w:val="00A30447"/>
    <w:rsid w:val="00A30B3C"/>
    <w:rsid w:val="00A30CA4"/>
    <w:rsid w:val="00A32983"/>
    <w:rsid w:val="00A32C68"/>
    <w:rsid w:val="00A34925"/>
    <w:rsid w:val="00A3773C"/>
    <w:rsid w:val="00A42076"/>
    <w:rsid w:val="00A43C37"/>
    <w:rsid w:val="00A4481C"/>
    <w:rsid w:val="00A45070"/>
    <w:rsid w:val="00A46596"/>
    <w:rsid w:val="00A50DA6"/>
    <w:rsid w:val="00A546E9"/>
    <w:rsid w:val="00A56883"/>
    <w:rsid w:val="00A5691B"/>
    <w:rsid w:val="00A56933"/>
    <w:rsid w:val="00A60028"/>
    <w:rsid w:val="00A632B2"/>
    <w:rsid w:val="00A65C4F"/>
    <w:rsid w:val="00A66332"/>
    <w:rsid w:val="00A665DD"/>
    <w:rsid w:val="00A66942"/>
    <w:rsid w:val="00A70233"/>
    <w:rsid w:val="00A74AEC"/>
    <w:rsid w:val="00A74C1E"/>
    <w:rsid w:val="00A752B1"/>
    <w:rsid w:val="00A75759"/>
    <w:rsid w:val="00A818B1"/>
    <w:rsid w:val="00A81A82"/>
    <w:rsid w:val="00A84E3D"/>
    <w:rsid w:val="00A857A4"/>
    <w:rsid w:val="00A86441"/>
    <w:rsid w:val="00A86895"/>
    <w:rsid w:val="00A87E30"/>
    <w:rsid w:val="00A92671"/>
    <w:rsid w:val="00A956AF"/>
    <w:rsid w:val="00AA0137"/>
    <w:rsid w:val="00AA0CF8"/>
    <w:rsid w:val="00AA191E"/>
    <w:rsid w:val="00AA283A"/>
    <w:rsid w:val="00AA4D73"/>
    <w:rsid w:val="00AA5256"/>
    <w:rsid w:val="00AA63DB"/>
    <w:rsid w:val="00AA665F"/>
    <w:rsid w:val="00AA719A"/>
    <w:rsid w:val="00AA7D9B"/>
    <w:rsid w:val="00AA7E4A"/>
    <w:rsid w:val="00AB0B7B"/>
    <w:rsid w:val="00AB26C0"/>
    <w:rsid w:val="00AB3BAC"/>
    <w:rsid w:val="00AB3C91"/>
    <w:rsid w:val="00AC0808"/>
    <w:rsid w:val="00AC1F48"/>
    <w:rsid w:val="00AC21BD"/>
    <w:rsid w:val="00AC7461"/>
    <w:rsid w:val="00AD0E52"/>
    <w:rsid w:val="00AD451C"/>
    <w:rsid w:val="00AD5A84"/>
    <w:rsid w:val="00AD5AD5"/>
    <w:rsid w:val="00AD7059"/>
    <w:rsid w:val="00AE0B02"/>
    <w:rsid w:val="00AE0E70"/>
    <w:rsid w:val="00AE2134"/>
    <w:rsid w:val="00AE4D83"/>
    <w:rsid w:val="00AE4ECC"/>
    <w:rsid w:val="00AE52A6"/>
    <w:rsid w:val="00AE5767"/>
    <w:rsid w:val="00AE5A51"/>
    <w:rsid w:val="00AF0273"/>
    <w:rsid w:val="00AF0B53"/>
    <w:rsid w:val="00AF1740"/>
    <w:rsid w:val="00AF4B6A"/>
    <w:rsid w:val="00B00057"/>
    <w:rsid w:val="00B023AA"/>
    <w:rsid w:val="00B0249C"/>
    <w:rsid w:val="00B02CD8"/>
    <w:rsid w:val="00B03375"/>
    <w:rsid w:val="00B045D1"/>
    <w:rsid w:val="00B04CA9"/>
    <w:rsid w:val="00B06F25"/>
    <w:rsid w:val="00B10F49"/>
    <w:rsid w:val="00B120ED"/>
    <w:rsid w:val="00B130FA"/>
    <w:rsid w:val="00B13612"/>
    <w:rsid w:val="00B14571"/>
    <w:rsid w:val="00B14A39"/>
    <w:rsid w:val="00B14DFF"/>
    <w:rsid w:val="00B156C3"/>
    <w:rsid w:val="00B15AC7"/>
    <w:rsid w:val="00B21675"/>
    <w:rsid w:val="00B2252D"/>
    <w:rsid w:val="00B2338B"/>
    <w:rsid w:val="00B24A00"/>
    <w:rsid w:val="00B3279D"/>
    <w:rsid w:val="00B3474F"/>
    <w:rsid w:val="00B37448"/>
    <w:rsid w:val="00B40141"/>
    <w:rsid w:val="00B4481B"/>
    <w:rsid w:val="00B4648B"/>
    <w:rsid w:val="00B47B7A"/>
    <w:rsid w:val="00B52047"/>
    <w:rsid w:val="00B52855"/>
    <w:rsid w:val="00B53DF1"/>
    <w:rsid w:val="00B54F0E"/>
    <w:rsid w:val="00B559FE"/>
    <w:rsid w:val="00B55FFC"/>
    <w:rsid w:val="00B57902"/>
    <w:rsid w:val="00B6033E"/>
    <w:rsid w:val="00B626D0"/>
    <w:rsid w:val="00B66AAC"/>
    <w:rsid w:val="00B677A3"/>
    <w:rsid w:val="00B702ED"/>
    <w:rsid w:val="00B7240A"/>
    <w:rsid w:val="00B72BEF"/>
    <w:rsid w:val="00B73491"/>
    <w:rsid w:val="00B73674"/>
    <w:rsid w:val="00B73B68"/>
    <w:rsid w:val="00B80235"/>
    <w:rsid w:val="00B82126"/>
    <w:rsid w:val="00B8322A"/>
    <w:rsid w:val="00B835B9"/>
    <w:rsid w:val="00B83A7D"/>
    <w:rsid w:val="00B84196"/>
    <w:rsid w:val="00B85049"/>
    <w:rsid w:val="00B86F92"/>
    <w:rsid w:val="00B87280"/>
    <w:rsid w:val="00B90E05"/>
    <w:rsid w:val="00B93EF6"/>
    <w:rsid w:val="00B942BC"/>
    <w:rsid w:val="00B97CF5"/>
    <w:rsid w:val="00BA181E"/>
    <w:rsid w:val="00BA5D4B"/>
    <w:rsid w:val="00BB1611"/>
    <w:rsid w:val="00BB3219"/>
    <w:rsid w:val="00BB5826"/>
    <w:rsid w:val="00BB7CC0"/>
    <w:rsid w:val="00BC13DE"/>
    <w:rsid w:val="00BC1A28"/>
    <w:rsid w:val="00BC69ED"/>
    <w:rsid w:val="00BD0350"/>
    <w:rsid w:val="00BD060E"/>
    <w:rsid w:val="00BD1378"/>
    <w:rsid w:val="00BD4409"/>
    <w:rsid w:val="00BD4639"/>
    <w:rsid w:val="00BD5485"/>
    <w:rsid w:val="00BD67DB"/>
    <w:rsid w:val="00BE0BED"/>
    <w:rsid w:val="00BE1094"/>
    <w:rsid w:val="00BE1512"/>
    <w:rsid w:val="00BE5C44"/>
    <w:rsid w:val="00BE5C85"/>
    <w:rsid w:val="00BE6A2B"/>
    <w:rsid w:val="00BE7967"/>
    <w:rsid w:val="00BE7E17"/>
    <w:rsid w:val="00BF3473"/>
    <w:rsid w:val="00BF441A"/>
    <w:rsid w:val="00BF49D9"/>
    <w:rsid w:val="00BF5DF0"/>
    <w:rsid w:val="00BF6828"/>
    <w:rsid w:val="00C00376"/>
    <w:rsid w:val="00C00B83"/>
    <w:rsid w:val="00C00BF8"/>
    <w:rsid w:val="00C0205F"/>
    <w:rsid w:val="00C024E5"/>
    <w:rsid w:val="00C0289B"/>
    <w:rsid w:val="00C06DD2"/>
    <w:rsid w:val="00C073DD"/>
    <w:rsid w:val="00C076ED"/>
    <w:rsid w:val="00C07B1D"/>
    <w:rsid w:val="00C10A76"/>
    <w:rsid w:val="00C11656"/>
    <w:rsid w:val="00C12916"/>
    <w:rsid w:val="00C21C46"/>
    <w:rsid w:val="00C236CA"/>
    <w:rsid w:val="00C26805"/>
    <w:rsid w:val="00C3034D"/>
    <w:rsid w:val="00C30BE2"/>
    <w:rsid w:val="00C31202"/>
    <w:rsid w:val="00C33DD9"/>
    <w:rsid w:val="00C34C1F"/>
    <w:rsid w:val="00C34FFD"/>
    <w:rsid w:val="00C364B6"/>
    <w:rsid w:val="00C43D43"/>
    <w:rsid w:val="00C47512"/>
    <w:rsid w:val="00C50112"/>
    <w:rsid w:val="00C50F29"/>
    <w:rsid w:val="00C525E8"/>
    <w:rsid w:val="00C5723A"/>
    <w:rsid w:val="00C60779"/>
    <w:rsid w:val="00C60D7D"/>
    <w:rsid w:val="00C61803"/>
    <w:rsid w:val="00C6312D"/>
    <w:rsid w:val="00C631BB"/>
    <w:rsid w:val="00C656B6"/>
    <w:rsid w:val="00C66F39"/>
    <w:rsid w:val="00C67AFB"/>
    <w:rsid w:val="00C67E18"/>
    <w:rsid w:val="00C70602"/>
    <w:rsid w:val="00C70D8D"/>
    <w:rsid w:val="00C7322D"/>
    <w:rsid w:val="00C74940"/>
    <w:rsid w:val="00C81EE2"/>
    <w:rsid w:val="00C82EC2"/>
    <w:rsid w:val="00C82F95"/>
    <w:rsid w:val="00C839AA"/>
    <w:rsid w:val="00C86211"/>
    <w:rsid w:val="00C909D9"/>
    <w:rsid w:val="00C934F4"/>
    <w:rsid w:val="00C95CF3"/>
    <w:rsid w:val="00C96273"/>
    <w:rsid w:val="00CA1B5F"/>
    <w:rsid w:val="00CA4130"/>
    <w:rsid w:val="00CA5E2D"/>
    <w:rsid w:val="00CA62A6"/>
    <w:rsid w:val="00CA7E6C"/>
    <w:rsid w:val="00CB0C3E"/>
    <w:rsid w:val="00CB596E"/>
    <w:rsid w:val="00CB69E4"/>
    <w:rsid w:val="00CB7383"/>
    <w:rsid w:val="00CB7ABE"/>
    <w:rsid w:val="00CC02F3"/>
    <w:rsid w:val="00CC0517"/>
    <w:rsid w:val="00CC0D02"/>
    <w:rsid w:val="00CC162C"/>
    <w:rsid w:val="00CC4AFA"/>
    <w:rsid w:val="00CC5ACF"/>
    <w:rsid w:val="00CC625A"/>
    <w:rsid w:val="00CC7301"/>
    <w:rsid w:val="00CD16D5"/>
    <w:rsid w:val="00CD2288"/>
    <w:rsid w:val="00CD3969"/>
    <w:rsid w:val="00CD4DE3"/>
    <w:rsid w:val="00CD76FE"/>
    <w:rsid w:val="00CE0518"/>
    <w:rsid w:val="00CE08E3"/>
    <w:rsid w:val="00CE0CE3"/>
    <w:rsid w:val="00CE11C8"/>
    <w:rsid w:val="00CE2685"/>
    <w:rsid w:val="00CE55A2"/>
    <w:rsid w:val="00CF2827"/>
    <w:rsid w:val="00CF45CD"/>
    <w:rsid w:val="00CF4733"/>
    <w:rsid w:val="00CF52AD"/>
    <w:rsid w:val="00CF5D45"/>
    <w:rsid w:val="00CF67A8"/>
    <w:rsid w:val="00CF6BFC"/>
    <w:rsid w:val="00CF6C10"/>
    <w:rsid w:val="00CF6E0B"/>
    <w:rsid w:val="00CF70BF"/>
    <w:rsid w:val="00D02781"/>
    <w:rsid w:val="00D036EC"/>
    <w:rsid w:val="00D0522C"/>
    <w:rsid w:val="00D05E0C"/>
    <w:rsid w:val="00D0746C"/>
    <w:rsid w:val="00D07973"/>
    <w:rsid w:val="00D10344"/>
    <w:rsid w:val="00D2266A"/>
    <w:rsid w:val="00D22C40"/>
    <w:rsid w:val="00D23C46"/>
    <w:rsid w:val="00D262A6"/>
    <w:rsid w:val="00D2761E"/>
    <w:rsid w:val="00D27BFC"/>
    <w:rsid w:val="00D30D41"/>
    <w:rsid w:val="00D30F22"/>
    <w:rsid w:val="00D31243"/>
    <w:rsid w:val="00D32F02"/>
    <w:rsid w:val="00D35585"/>
    <w:rsid w:val="00D419B6"/>
    <w:rsid w:val="00D43B8B"/>
    <w:rsid w:val="00D457A3"/>
    <w:rsid w:val="00D459C4"/>
    <w:rsid w:val="00D4635D"/>
    <w:rsid w:val="00D46DEC"/>
    <w:rsid w:val="00D51A03"/>
    <w:rsid w:val="00D52488"/>
    <w:rsid w:val="00D55E17"/>
    <w:rsid w:val="00D572D3"/>
    <w:rsid w:val="00D60EBC"/>
    <w:rsid w:val="00D62B58"/>
    <w:rsid w:val="00D62E3A"/>
    <w:rsid w:val="00D63093"/>
    <w:rsid w:val="00D638D3"/>
    <w:rsid w:val="00D65E8D"/>
    <w:rsid w:val="00D66C20"/>
    <w:rsid w:val="00D70744"/>
    <w:rsid w:val="00D738E6"/>
    <w:rsid w:val="00D75339"/>
    <w:rsid w:val="00D76B7B"/>
    <w:rsid w:val="00D76C13"/>
    <w:rsid w:val="00D8047D"/>
    <w:rsid w:val="00D81834"/>
    <w:rsid w:val="00D82ADA"/>
    <w:rsid w:val="00D8551F"/>
    <w:rsid w:val="00D8557C"/>
    <w:rsid w:val="00D856D9"/>
    <w:rsid w:val="00D87161"/>
    <w:rsid w:val="00D91009"/>
    <w:rsid w:val="00D91310"/>
    <w:rsid w:val="00D916B5"/>
    <w:rsid w:val="00D92F15"/>
    <w:rsid w:val="00D9495A"/>
    <w:rsid w:val="00D954FC"/>
    <w:rsid w:val="00D95A68"/>
    <w:rsid w:val="00D97E20"/>
    <w:rsid w:val="00DA1D55"/>
    <w:rsid w:val="00DA2300"/>
    <w:rsid w:val="00DA583C"/>
    <w:rsid w:val="00DA5E2D"/>
    <w:rsid w:val="00DA6BE4"/>
    <w:rsid w:val="00DB06A9"/>
    <w:rsid w:val="00DB4038"/>
    <w:rsid w:val="00DB40E4"/>
    <w:rsid w:val="00DB41F7"/>
    <w:rsid w:val="00DB669C"/>
    <w:rsid w:val="00DB722E"/>
    <w:rsid w:val="00DC01D3"/>
    <w:rsid w:val="00DC16F0"/>
    <w:rsid w:val="00DC1B98"/>
    <w:rsid w:val="00DC32A9"/>
    <w:rsid w:val="00DC4092"/>
    <w:rsid w:val="00DD05EC"/>
    <w:rsid w:val="00DD2805"/>
    <w:rsid w:val="00DD774F"/>
    <w:rsid w:val="00DE0791"/>
    <w:rsid w:val="00DE23D0"/>
    <w:rsid w:val="00DE3A92"/>
    <w:rsid w:val="00DE3CBE"/>
    <w:rsid w:val="00DE5715"/>
    <w:rsid w:val="00DE7C18"/>
    <w:rsid w:val="00DF06F4"/>
    <w:rsid w:val="00DF5078"/>
    <w:rsid w:val="00DF6CD3"/>
    <w:rsid w:val="00DF71A9"/>
    <w:rsid w:val="00DF7B4B"/>
    <w:rsid w:val="00E013E9"/>
    <w:rsid w:val="00E01E4D"/>
    <w:rsid w:val="00E01E9A"/>
    <w:rsid w:val="00E02853"/>
    <w:rsid w:val="00E046FE"/>
    <w:rsid w:val="00E04E1E"/>
    <w:rsid w:val="00E0601E"/>
    <w:rsid w:val="00E0701A"/>
    <w:rsid w:val="00E110EF"/>
    <w:rsid w:val="00E12385"/>
    <w:rsid w:val="00E12A65"/>
    <w:rsid w:val="00E12BBD"/>
    <w:rsid w:val="00E12F86"/>
    <w:rsid w:val="00E20D1D"/>
    <w:rsid w:val="00E20D9B"/>
    <w:rsid w:val="00E20F8B"/>
    <w:rsid w:val="00E238FF"/>
    <w:rsid w:val="00E2680C"/>
    <w:rsid w:val="00E3339E"/>
    <w:rsid w:val="00E3603B"/>
    <w:rsid w:val="00E3652A"/>
    <w:rsid w:val="00E37312"/>
    <w:rsid w:val="00E37F0E"/>
    <w:rsid w:val="00E40DC5"/>
    <w:rsid w:val="00E419F1"/>
    <w:rsid w:val="00E432FA"/>
    <w:rsid w:val="00E4428E"/>
    <w:rsid w:val="00E45A1F"/>
    <w:rsid w:val="00E4651B"/>
    <w:rsid w:val="00E47A8A"/>
    <w:rsid w:val="00E47BF7"/>
    <w:rsid w:val="00E514E2"/>
    <w:rsid w:val="00E52386"/>
    <w:rsid w:val="00E53F55"/>
    <w:rsid w:val="00E54A2C"/>
    <w:rsid w:val="00E55A57"/>
    <w:rsid w:val="00E564D8"/>
    <w:rsid w:val="00E60F6E"/>
    <w:rsid w:val="00E628CD"/>
    <w:rsid w:val="00E6305C"/>
    <w:rsid w:val="00E631BC"/>
    <w:rsid w:val="00E6506C"/>
    <w:rsid w:val="00E70449"/>
    <w:rsid w:val="00E80669"/>
    <w:rsid w:val="00E812D2"/>
    <w:rsid w:val="00E82A60"/>
    <w:rsid w:val="00E82FE0"/>
    <w:rsid w:val="00E8623F"/>
    <w:rsid w:val="00E867CA"/>
    <w:rsid w:val="00E8681F"/>
    <w:rsid w:val="00E87D5B"/>
    <w:rsid w:val="00EA0B33"/>
    <w:rsid w:val="00EA1823"/>
    <w:rsid w:val="00EA213E"/>
    <w:rsid w:val="00EA2575"/>
    <w:rsid w:val="00EA2893"/>
    <w:rsid w:val="00EA3A4D"/>
    <w:rsid w:val="00EA3B77"/>
    <w:rsid w:val="00EA7403"/>
    <w:rsid w:val="00EB0657"/>
    <w:rsid w:val="00EB0B13"/>
    <w:rsid w:val="00EB16F5"/>
    <w:rsid w:val="00EB3665"/>
    <w:rsid w:val="00EB3A4D"/>
    <w:rsid w:val="00EB4B49"/>
    <w:rsid w:val="00EB578B"/>
    <w:rsid w:val="00EB5AB5"/>
    <w:rsid w:val="00EB5B72"/>
    <w:rsid w:val="00EC6792"/>
    <w:rsid w:val="00EC71AE"/>
    <w:rsid w:val="00ED384B"/>
    <w:rsid w:val="00ED3D01"/>
    <w:rsid w:val="00ED5FAE"/>
    <w:rsid w:val="00EE00B1"/>
    <w:rsid w:val="00EE35CE"/>
    <w:rsid w:val="00EE3A46"/>
    <w:rsid w:val="00EE4140"/>
    <w:rsid w:val="00EE4BF2"/>
    <w:rsid w:val="00EE68BA"/>
    <w:rsid w:val="00EF18DC"/>
    <w:rsid w:val="00EF215A"/>
    <w:rsid w:val="00EF28A5"/>
    <w:rsid w:val="00EF6263"/>
    <w:rsid w:val="00EF7E58"/>
    <w:rsid w:val="00F0092A"/>
    <w:rsid w:val="00F01C0A"/>
    <w:rsid w:val="00F049A4"/>
    <w:rsid w:val="00F05BB1"/>
    <w:rsid w:val="00F07260"/>
    <w:rsid w:val="00F1138C"/>
    <w:rsid w:val="00F129A1"/>
    <w:rsid w:val="00F14DBA"/>
    <w:rsid w:val="00F16F0A"/>
    <w:rsid w:val="00F230BE"/>
    <w:rsid w:val="00F2788A"/>
    <w:rsid w:val="00F309E4"/>
    <w:rsid w:val="00F30A46"/>
    <w:rsid w:val="00F30F15"/>
    <w:rsid w:val="00F3231C"/>
    <w:rsid w:val="00F34797"/>
    <w:rsid w:val="00F373A4"/>
    <w:rsid w:val="00F37639"/>
    <w:rsid w:val="00F378D8"/>
    <w:rsid w:val="00F40440"/>
    <w:rsid w:val="00F40715"/>
    <w:rsid w:val="00F40A93"/>
    <w:rsid w:val="00F44266"/>
    <w:rsid w:val="00F44E59"/>
    <w:rsid w:val="00F44F73"/>
    <w:rsid w:val="00F46482"/>
    <w:rsid w:val="00F50B74"/>
    <w:rsid w:val="00F51AE8"/>
    <w:rsid w:val="00F5461C"/>
    <w:rsid w:val="00F54ECF"/>
    <w:rsid w:val="00F567E8"/>
    <w:rsid w:val="00F57109"/>
    <w:rsid w:val="00F57794"/>
    <w:rsid w:val="00F57B59"/>
    <w:rsid w:val="00F620ED"/>
    <w:rsid w:val="00F64E31"/>
    <w:rsid w:val="00F651B4"/>
    <w:rsid w:val="00F65E3F"/>
    <w:rsid w:val="00F670E3"/>
    <w:rsid w:val="00F67200"/>
    <w:rsid w:val="00F718C0"/>
    <w:rsid w:val="00F7380C"/>
    <w:rsid w:val="00F773C1"/>
    <w:rsid w:val="00F84145"/>
    <w:rsid w:val="00F84ABB"/>
    <w:rsid w:val="00F85CDC"/>
    <w:rsid w:val="00F8743F"/>
    <w:rsid w:val="00F90437"/>
    <w:rsid w:val="00F906E6"/>
    <w:rsid w:val="00F936E1"/>
    <w:rsid w:val="00F94846"/>
    <w:rsid w:val="00F9491B"/>
    <w:rsid w:val="00F95D9B"/>
    <w:rsid w:val="00FA1E72"/>
    <w:rsid w:val="00FA25E8"/>
    <w:rsid w:val="00FA463B"/>
    <w:rsid w:val="00FA6E37"/>
    <w:rsid w:val="00FA6E8B"/>
    <w:rsid w:val="00FA7A24"/>
    <w:rsid w:val="00FB2C29"/>
    <w:rsid w:val="00FB369C"/>
    <w:rsid w:val="00FB6765"/>
    <w:rsid w:val="00FB7D35"/>
    <w:rsid w:val="00FC0A74"/>
    <w:rsid w:val="00FC1AEB"/>
    <w:rsid w:val="00FC3383"/>
    <w:rsid w:val="00FC6EB0"/>
    <w:rsid w:val="00FD0DF0"/>
    <w:rsid w:val="00FD1981"/>
    <w:rsid w:val="00FD1E6D"/>
    <w:rsid w:val="00FD20EF"/>
    <w:rsid w:val="00FD3FD9"/>
    <w:rsid w:val="00FD46C7"/>
    <w:rsid w:val="00FD4AC6"/>
    <w:rsid w:val="00FD5A97"/>
    <w:rsid w:val="00FE201A"/>
    <w:rsid w:val="00FE2EC0"/>
    <w:rsid w:val="00FE4972"/>
    <w:rsid w:val="00FE4E98"/>
    <w:rsid w:val="00FE55A3"/>
    <w:rsid w:val="00FE7F50"/>
    <w:rsid w:val="00FE7FC1"/>
    <w:rsid w:val="00FF05EF"/>
    <w:rsid w:val="00FF59FC"/>
    <w:rsid w:val="00FF6DF0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6c6b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035"/>
    <w:pPr>
      <w:spacing w:line="360" w:lineRule="auto"/>
      <w:jc w:val="both"/>
    </w:pPr>
    <w:rPr>
      <w:color w:val="404040" w:themeColor="text1" w:themeTint="BF"/>
      <w:sz w:val="24"/>
      <w:szCs w:val="24"/>
    </w:rPr>
  </w:style>
  <w:style w:type="paragraph" w:styleId="Heading1">
    <w:name w:val="heading 1"/>
    <w:basedOn w:val="Normal"/>
    <w:next w:val="Normal"/>
    <w:qFormat/>
    <w:rsid w:val="003028D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28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28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28D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28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028D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028D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028D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028D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C13DE"/>
    <w:pPr>
      <w:tabs>
        <w:tab w:val="right" w:leader="dot" w:pos="8494"/>
      </w:tabs>
      <w:spacing w:before="360" w:after="360"/>
    </w:pPr>
    <w:rPr>
      <w:rFonts w:ascii="Arial" w:hAnsi="Arial" w:cs="Arial"/>
      <w:b/>
      <w:bCs/>
      <w:caps/>
      <w:noProof/>
      <w:color w:val="45556A"/>
      <w:sz w:val="20"/>
      <w:szCs w:val="20"/>
      <w:u w:val="single"/>
    </w:rPr>
  </w:style>
  <w:style w:type="paragraph" w:styleId="TOC2">
    <w:name w:val="toc 2"/>
    <w:basedOn w:val="Normal"/>
    <w:next w:val="Normal"/>
    <w:autoRedefine/>
    <w:semiHidden/>
    <w:rsid w:val="003028D6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3028D6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3028D6"/>
    <w:rPr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3028D6"/>
    <w:rPr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3028D6"/>
    <w:rPr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3028D6"/>
    <w:rPr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3028D6"/>
    <w:rPr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3028D6"/>
    <w:rPr>
      <w:sz w:val="22"/>
      <w:szCs w:val="22"/>
    </w:rPr>
  </w:style>
  <w:style w:type="character" w:styleId="Hyperlink">
    <w:name w:val="Hyperlink"/>
    <w:basedOn w:val="DefaultParagraphFont"/>
    <w:uiPriority w:val="99"/>
    <w:rsid w:val="003028D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7312"/>
    <w:rPr>
      <w:sz w:val="16"/>
      <w:szCs w:val="16"/>
    </w:rPr>
  </w:style>
  <w:style w:type="paragraph" w:styleId="CommentText">
    <w:name w:val="annotation text"/>
    <w:basedOn w:val="Normal"/>
    <w:semiHidden/>
    <w:rsid w:val="00E373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37312"/>
    <w:rPr>
      <w:b/>
      <w:bCs/>
    </w:rPr>
  </w:style>
  <w:style w:type="paragraph" w:styleId="BalloonText">
    <w:name w:val="Balloon Text"/>
    <w:basedOn w:val="Normal"/>
    <w:semiHidden/>
    <w:rsid w:val="00E373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6784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F936E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36E1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0C592F"/>
    <w:rPr>
      <w:i/>
      <w:iCs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A5E2D"/>
    <w:pPr>
      <w:spacing w:before="240"/>
      <w:ind w:left="240" w:hanging="240"/>
    </w:pPr>
    <w:rPr>
      <w:sz w:val="20"/>
      <w:szCs w:val="20"/>
    </w:rPr>
  </w:style>
  <w:style w:type="paragraph" w:styleId="TOAHeading">
    <w:name w:val="toa heading"/>
    <w:basedOn w:val="Normal"/>
    <w:next w:val="Normal"/>
    <w:semiHidden/>
    <w:rsid w:val="00CA5E2D"/>
    <w:pPr>
      <w:spacing w:before="240"/>
    </w:pPr>
    <w:rPr>
      <w:b/>
      <w:bCs/>
      <w:i/>
      <w:iCs/>
    </w:rPr>
  </w:style>
  <w:style w:type="table" w:styleId="TableGrid">
    <w:name w:val="Table Grid"/>
    <w:basedOn w:val="TableNormal"/>
    <w:rsid w:val="00072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A6E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6E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6E8B"/>
  </w:style>
  <w:style w:type="paragraph" w:customStyle="1" w:styleId="Tit1">
    <w:name w:val="Tit1"/>
    <w:basedOn w:val="Heading1"/>
    <w:autoRedefine/>
    <w:rsid w:val="0072333B"/>
    <w:pPr>
      <w:pBdr>
        <w:left w:val="single" w:sz="12" w:space="4" w:color="EAF1DD" w:themeColor="accent3" w:themeTint="33"/>
        <w:bottom w:val="single" w:sz="12" w:space="1" w:color="EAF1DD" w:themeColor="accent3" w:themeTint="33"/>
      </w:pBdr>
      <w:shd w:val="clear" w:color="auto" w:fill="FFFFFF" w:themeFill="background1"/>
      <w:spacing w:before="0" w:after="240"/>
      <w:jc w:val="left"/>
    </w:pPr>
    <w:rPr>
      <w:rFonts w:ascii="Times New Roman" w:hAnsi="Times New Roman" w:cs="Times New Roman"/>
      <w:spacing w:val="20"/>
      <w:szCs w:val="20"/>
    </w:rPr>
  </w:style>
  <w:style w:type="paragraph" w:customStyle="1" w:styleId="acronimos">
    <w:name w:val="acronimos"/>
    <w:basedOn w:val="Normal"/>
    <w:autoRedefine/>
    <w:rsid w:val="00132035"/>
    <w:rPr>
      <w:sz w:val="20"/>
      <w:szCs w:val="20"/>
    </w:rPr>
  </w:style>
  <w:style w:type="character" w:customStyle="1" w:styleId="StyleArialCustomColorRGB69">
    <w:name w:val="Style Arial Custom Color(RGB(69"/>
    <w:aliases w:val="85,106))"/>
    <w:basedOn w:val="DefaultParagraphFont"/>
    <w:rsid w:val="00132035"/>
    <w:rPr>
      <w:rFonts w:ascii="Arial" w:hAnsi="Arial"/>
      <w:color w:val="404040" w:themeColor="text1" w:themeTint="BF"/>
      <w:sz w:val="24"/>
    </w:rPr>
  </w:style>
  <w:style w:type="character" w:customStyle="1" w:styleId="rodapeRefer">
    <w:name w:val="rodape_Refer"/>
    <w:basedOn w:val="FootnoteReference"/>
    <w:rsid w:val="00132035"/>
    <w:rPr>
      <w:rFonts w:ascii="Times New Roman" w:hAnsi="Times New Roman"/>
      <w:color w:val="404040" w:themeColor="text1" w:themeTint="BF"/>
      <w:vertAlign w:val="superscript"/>
    </w:rPr>
  </w:style>
  <w:style w:type="paragraph" w:customStyle="1" w:styleId="Tit2">
    <w:name w:val="Tit2"/>
    <w:basedOn w:val="Heading2"/>
    <w:rsid w:val="00132035"/>
    <w:pPr>
      <w:spacing w:after="360"/>
      <w:jc w:val="left"/>
    </w:pPr>
    <w:rPr>
      <w:rFonts w:ascii="Times New Roman" w:hAnsi="Times New Roman"/>
    </w:rPr>
  </w:style>
  <w:style w:type="paragraph" w:customStyle="1" w:styleId="NOTA">
    <w:name w:val="NOTA"/>
    <w:basedOn w:val="Normal"/>
    <w:rsid w:val="001F56E5"/>
    <w:pPr>
      <w:spacing w:before="60" w:after="120" w:line="240" w:lineRule="auto"/>
      <w:jc w:val="left"/>
    </w:pPr>
    <w:rPr>
      <w:i/>
      <w:iCs/>
      <w:color w:val="auto"/>
      <w:sz w:val="16"/>
      <w:szCs w:val="20"/>
    </w:rPr>
  </w:style>
  <w:style w:type="paragraph" w:customStyle="1" w:styleId="TabCab">
    <w:name w:val="Tab_Cab"/>
    <w:basedOn w:val="Normal"/>
    <w:link w:val="TabCabChar"/>
    <w:qFormat/>
    <w:rsid w:val="00DD774F"/>
    <w:pPr>
      <w:spacing w:line="240" w:lineRule="auto"/>
      <w:jc w:val="center"/>
    </w:pPr>
    <w:rPr>
      <w:b/>
      <w:sz w:val="20"/>
    </w:rPr>
  </w:style>
  <w:style w:type="paragraph" w:customStyle="1" w:styleId="Tabcorpo">
    <w:name w:val="Tab_corpo"/>
    <w:basedOn w:val="Normal"/>
    <w:link w:val="TabcorpoChar"/>
    <w:qFormat/>
    <w:rsid w:val="00776FD3"/>
    <w:pPr>
      <w:spacing w:line="240" w:lineRule="auto"/>
      <w:jc w:val="center"/>
    </w:pPr>
    <w:rPr>
      <w:sz w:val="20"/>
    </w:rPr>
  </w:style>
  <w:style w:type="character" w:customStyle="1" w:styleId="TabCabChar">
    <w:name w:val="Tab_Cab Char"/>
    <w:basedOn w:val="DefaultParagraphFont"/>
    <w:link w:val="TabCab"/>
    <w:rsid w:val="00DD774F"/>
    <w:rPr>
      <w:b/>
      <w:color w:val="404040" w:themeColor="text1" w:themeTint="BF"/>
      <w:szCs w:val="24"/>
    </w:rPr>
  </w:style>
  <w:style w:type="paragraph" w:customStyle="1" w:styleId="Tab1col">
    <w:name w:val="Tab_1_col"/>
    <w:basedOn w:val="Normal"/>
    <w:link w:val="Tab1colChar"/>
    <w:qFormat/>
    <w:rsid w:val="00776FD3"/>
    <w:pPr>
      <w:spacing w:line="240" w:lineRule="auto"/>
      <w:jc w:val="left"/>
    </w:pPr>
    <w:rPr>
      <w:i/>
      <w:sz w:val="20"/>
    </w:rPr>
  </w:style>
  <w:style w:type="character" w:customStyle="1" w:styleId="TabcorpoChar">
    <w:name w:val="Tab_corpo Char"/>
    <w:basedOn w:val="DefaultParagraphFont"/>
    <w:link w:val="Tabcorpo"/>
    <w:rsid w:val="00776FD3"/>
    <w:rPr>
      <w:color w:val="404040" w:themeColor="text1" w:themeTint="BF"/>
      <w:szCs w:val="24"/>
    </w:rPr>
  </w:style>
  <w:style w:type="paragraph" w:customStyle="1" w:styleId="Tabtot">
    <w:name w:val="Tab_tot"/>
    <w:basedOn w:val="Tabcorpo"/>
    <w:link w:val="TabtotChar"/>
    <w:qFormat/>
    <w:rsid w:val="00776FD3"/>
    <w:rPr>
      <w:b/>
    </w:rPr>
  </w:style>
  <w:style w:type="character" w:customStyle="1" w:styleId="Tab1colChar">
    <w:name w:val="Tab_1_col Char"/>
    <w:basedOn w:val="DefaultParagraphFont"/>
    <w:link w:val="Tab1col"/>
    <w:rsid w:val="00776FD3"/>
    <w:rPr>
      <w:i/>
      <w:color w:val="404040" w:themeColor="text1" w:themeTint="BF"/>
      <w:szCs w:val="24"/>
    </w:rPr>
  </w:style>
  <w:style w:type="paragraph" w:styleId="ListParagraph">
    <w:name w:val="List Paragraph"/>
    <w:basedOn w:val="Normal"/>
    <w:uiPriority w:val="34"/>
    <w:qFormat/>
    <w:rsid w:val="00351BBD"/>
    <w:pPr>
      <w:ind w:left="720"/>
      <w:contextualSpacing/>
    </w:pPr>
  </w:style>
  <w:style w:type="character" w:customStyle="1" w:styleId="TabtotChar">
    <w:name w:val="Tab_tot Char"/>
    <w:basedOn w:val="TabcorpoChar"/>
    <w:link w:val="Tabtot"/>
    <w:rsid w:val="00776FD3"/>
    <w:rPr>
      <w:b/>
      <w:color w:val="404040" w:themeColor="text1" w:themeTint="BF"/>
      <w:szCs w:val="24"/>
    </w:rPr>
  </w:style>
  <w:style w:type="paragraph" w:customStyle="1" w:styleId="biblio">
    <w:name w:val="biblio"/>
    <w:basedOn w:val="Normal"/>
    <w:rsid w:val="00220B1F"/>
    <w:pPr>
      <w:spacing w:before="120" w:after="120" w:line="240" w:lineRule="auto"/>
      <w:ind w:left="709" w:hanging="709"/>
    </w:pPr>
    <w:rPr>
      <w:szCs w:val="20"/>
    </w:rPr>
  </w:style>
  <w:style w:type="table" w:styleId="Table3Deffects3">
    <w:name w:val="Table 3D effects 3"/>
    <w:basedOn w:val="TableNormal"/>
    <w:rsid w:val="00174E3C"/>
    <w:pPr>
      <w:spacing w:line="36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1">
    <w:name w:val="Light Shading Accent 1"/>
    <w:basedOn w:val="TableNormal"/>
    <w:uiPriority w:val="60"/>
    <w:rsid w:val="00174E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AA525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035"/>
    <w:pPr>
      <w:spacing w:line="360" w:lineRule="auto"/>
      <w:jc w:val="both"/>
    </w:pPr>
    <w:rPr>
      <w:color w:val="404040" w:themeColor="text1" w:themeTint="BF"/>
      <w:sz w:val="24"/>
      <w:szCs w:val="24"/>
    </w:rPr>
  </w:style>
  <w:style w:type="paragraph" w:styleId="Heading1">
    <w:name w:val="heading 1"/>
    <w:basedOn w:val="Normal"/>
    <w:next w:val="Normal"/>
    <w:qFormat/>
    <w:rsid w:val="003028D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28D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028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28D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28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028D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028D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028D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028D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C13DE"/>
    <w:pPr>
      <w:tabs>
        <w:tab w:val="right" w:leader="dot" w:pos="8494"/>
      </w:tabs>
      <w:spacing w:before="360" w:after="360"/>
    </w:pPr>
    <w:rPr>
      <w:rFonts w:ascii="Arial" w:hAnsi="Arial" w:cs="Arial"/>
      <w:b/>
      <w:bCs/>
      <w:caps/>
      <w:noProof/>
      <w:color w:val="45556A"/>
      <w:sz w:val="20"/>
      <w:szCs w:val="20"/>
      <w:u w:val="single"/>
    </w:rPr>
  </w:style>
  <w:style w:type="paragraph" w:styleId="TOC2">
    <w:name w:val="toc 2"/>
    <w:basedOn w:val="Normal"/>
    <w:next w:val="Normal"/>
    <w:autoRedefine/>
    <w:semiHidden/>
    <w:rsid w:val="003028D6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3028D6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3028D6"/>
    <w:rPr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3028D6"/>
    <w:rPr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3028D6"/>
    <w:rPr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3028D6"/>
    <w:rPr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3028D6"/>
    <w:rPr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3028D6"/>
    <w:rPr>
      <w:sz w:val="22"/>
      <w:szCs w:val="22"/>
    </w:rPr>
  </w:style>
  <w:style w:type="character" w:styleId="Hyperlink">
    <w:name w:val="Hyperlink"/>
    <w:basedOn w:val="DefaultParagraphFont"/>
    <w:uiPriority w:val="99"/>
    <w:rsid w:val="003028D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7312"/>
    <w:rPr>
      <w:sz w:val="16"/>
      <w:szCs w:val="16"/>
    </w:rPr>
  </w:style>
  <w:style w:type="paragraph" w:styleId="CommentText">
    <w:name w:val="annotation text"/>
    <w:basedOn w:val="Normal"/>
    <w:semiHidden/>
    <w:rsid w:val="00E373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37312"/>
    <w:rPr>
      <w:b/>
      <w:bCs/>
    </w:rPr>
  </w:style>
  <w:style w:type="paragraph" w:styleId="BalloonText">
    <w:name w:val="Balloon Text"/>
    <w:basedOn w:val="Normal"/>
    <w:semiHidden/>
    <w:rsid w:val="00E373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6784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F936E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36E1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0C592F"/>
    <w:rPr>
      <w:i/>
      <w:iCs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A5E2D"/>
    <w:pPr>
      <w:spacing w:before="240"/>
      <w:ind w:left="240" w:hanging="240"/>
    </w:pPr>
    <w:rPr>
      <w:sz w:val="20"/>
      <w:szCs w:val="20"/>
    </w:rPr>
  </w:style>
  <w:style w:type="paragraph" w:styleId="TOAHeading">
    <w:name w:val="toa heading"/>
    <w:basedOn w:val="Normal"/>
    <w:next w:val="Normal"/>
    <w:semiHidden/>
    <w:rsid w:val="00CA5E2D"/>
    <w:pPr>
      <w:spacing w:before="240"/>
    </w:pPr>
    <w:rPr>
      <w:b/>
      <w:bCs/>
      <w:i/>
      <w:iCs/>
    </w:rPr>
  </w:style>
  <w:style w:type="table" w:styleId="TableGrid">
    <w:name w:val="Table Grid"/>
    <w:basedOn w:val="TableNormal"/>
    <w:rsid w:val="00072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A6E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6E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6E8B"/>
  </w:style>
  <w:style w:type="paragraph" w:customStyle="1" w:styleId="Tit1">
    <w:name w:val="Tit1"/>
    <w:basedOn w:val="Heading1"/>
    <w:autoRedefine/>
    <w:rsid w:val="0072333B"/>
    <w:pPr>
      <w:pBdr>
        <w:left w:val="single" w:sz="12" w:space="4" w:color="EAF1DD" w:themeColor="accent3" w:themeTint="33"/>
        <w:bottom w:val="single" w:sz="12" w:space="1" w:color="EAF1DD" w:themeColor="accent3" w:themeTint="33"/>
      </w:pBdr>
      <w:shd w:val="clear" w:color="auto" w:fill="FFFFFF" w:themeFill="background1"/>
      <w:spacing w:before="0" w:after="240"/>
      <w:jc w:val="left"/>
    </w:pPr>
    <w:rPr>
      <w:rFonts w:ascii="Times New Roman" w:hAnsi="Times New Roman" w:cs="Times New Roman"/>
      <w:spacing w:val="20"/>
      <w:szCs w:val="20"/>
    </w:rPr>
  </w:style>
  <w:style w:type="paragraph" w:customStyle="1" w:styleId="acronimos">
    <w:name w:val="acronimos"/>
    <w:basedOn w:val="Normal"/>
    <w:autoRedefine/>
    <w:rsid w:val="00132035"/>
    <w:rPr>
      <w:sz w:val="20"/>
      <w:szCs w:val="20"/>
    </w:rPr>
  </w:style>
  <w:style w:type="character" w:customStyle="1" w:styleId="StyleArialCustomColorRGB69">
    <w:name w:val="Style Arial Custom Color(RGB(69"/>
    <w:aliases w:val="85,106))"/>
    <w:basedOn w:val="DefaultParagraphFont"/>
    <w:rsid w:val="00132035"/>
    <w:rPr>
      <w:rFonts w:ascii="Arial" w:hAnsi="Arial"/>
      <w:color w:val="404040" w:themeColor="text1" w:themeTint="BF"/>
      <w:sz w:val="24"/>
    </w:rPr>
  </w:style>
  <w:style w:type="character" w:customStyle="1" w:styleId="rodapeRefer">
    <w:name w:val="rodape_Refer"/>
    <w:basedOn w:val="FootnoteReference"/>
    <w:rsid w:val="00132035"/>
    <w:rPr>
      <w:rFonts w:ascii="Times New Roman" w:hAnsi="Times New Roman"/>
      <w:color w:val="404040" w:themeColor="text1" w:themeTint="BF"/>
      <w:vertAlign w:val="superscript"/>
    </w:rPr>
  </w:style>
  <w:style w:type="paragraph" w:customStyle="1" w:styleId="Tit2">
    <w:name w:val="Tit2"/>
    <w:basedOn w:val="Heading2"/>
    <w:rsid w:val="00132035"/>
    <w:pPr>
      <w:spacing w:after="360"/>
      <w:jc w:val="left"/>
    </w:pPr>
    <w:rPr>
      <w:rFonts w:ascii="Times New Roman" w:hAnsi="Times New Roman"/>
    </w:rPr>
  </w:style>
  <w:style w:type="paragraph" w:customStyle="1" w:styleId="NOTA">
    <w:name w:val="NOTA"/>
    <w:basedOn w:val="Normal"/>
    <w:rsid w:val="001F56E5"/>
    <w:pPr>
      <w:spacing w:before="60" w:after="120" w:line="240" w:lineRule="auto"/>
      <w:jc w:val="left"/>
    </w:pPr>
    <w:rPr>
      <w:i/>
      <w:iCs/>
      <w:color w:val="auto"/>
      <w:sz w:val="16"/>
      <w:szCs w:val="20"/>
    </w:rPr>
  </w:style>
  <w:style w:type="paragraph" w:customStyle="1" w:styleId="TabCab">
    <w:name w:val="Tab_Cab"/>
    <w:basedOn w:val="Normal"/>
    <w:link w:val="TabCabChar"/>
    <w:qFormat/>
    <w:rsid w:val="00DD774F"/>
    <w:pPr>
      <w:spacing w:line="240" w:lineRule="auto"/>
      <w:jc w:val="center"/>
    </w:pPr>
    <w:rPr>
      <w:b/>
      <w:sz w:val="20"/>
    </w:rPr>
  </w:style>
  <w:style w:type="paragraph" w:customStyle="1" w:styleId="Tabcorpo">
    <w:name w:val="Tab_corpo"/>
    <w:basedOn w:val="Normal"/>
    <w:link w:val="TabcorpoChar"/>
    <w:qFormat/>
    <w:rsid w:val="00776FD3"/>
    <w:pPr>
      <w:spacing w:line="240" w:lineRule="auto"/>
      <w:jc w:val="center"/>
    </w:pPr>
    <w:rPr>
      <w:sz w:val="20"/>
    </w:rPr>
  </w:style>
  <w:style w:type="character" w:customStyle="1" w:styleId="TabCabChar">
    <w:name w:val="Tab_Cab Char"/>
    <w:basedOn w:val="DefaultParagraphFont"/>
    <w:link w:val="TabCab"/>
    <w:rsid w:val="00DD774F"/>
    <w:rPr>
      <w:b/>
      <w:color w:val="404040" w:themeColor="text1" w:themeTint="BF"/>
      <w:szCs w:val="24"/>
    </w:rPr>
  </w:style>
  <w:style w:type="paragraph" w:customStyle="1" w:styleId="Tab1col">
    <w:name w:val="Tab_1_col"/>
    <w:basedOn w:val="Normal"/>
    <w:link w:val="Tab1colChar"/>
    <w:qFormat/>
    <w:rsid w:val="00776FD3"/>
    <w:pPr>
      <w:spacing w:line="240" w:lineRule="auto"/>
      <w:jc w:val="left"/>
    </w:pPr>
    <w:rPr>
      <w:i/>
      <w:sz w:val="20"/>
    </w:rPr>
  </w:style>
  <w:style w:type="character" w:customStyle="1" w:styleId="TabcorpoChar">
    <w:name w:val="Tab_corpo Char"/>
    <w:basedOn w:val="DefaultParagraphFont"/>
    <w:link w:val="Tabcorpo"/>
    <w:rsid w:val="00776FD3"/>
    <w:rPr>
      <w:color w:val="404040" w:themeColor="text1" w:themeTint="BF"/>
      <w:szCs w:val="24"/>
    </w:rPr>
  </w:style>
  <w:style w:type="paragraph" w:customStyle="1" w:styleId="Tabtot">
    <w:name w:val="Tab_tot"/>
    <w:basedOn w:val="Tabcorpo"/>
    <w:link w:val="TabtotChar"/>
    <w:qFormat/>
    <w:rsid w:val="00776FD3"/>
    <w:rPr>
      <w:b/>
    </w:rPr>
  </w:style>
  <w:style w:type="character" w:customStyle="1" w:styleId="Tab1colChar">
    <w:name w:val="Tab_1_col Char"/>
    <w:basedOn w:val="DefaultParagraphFont"/>
    <w:link w:val="Tab1col"/>
    <w:rsid w:val="00776FD3"/>
    <w:rPr>
      <w:i/>
      <w:color w:val="404040" w:themeColor="text1" w:themeTint="BF"/>
      <w:szCs w:val="24"/>
    </w:rPr>
  </w:style>
  <w:style w:type="paragraph" w:styleId="ListParagraph">
    <w:name w:val="List Paragraph"/>
    <w:basedOn w:val="Normal"/>
    <w:uiPriority w:val="34"/>
    <w:qFormat/>
    <w:rsid w:val="00351BBD"/>
    <w:pPr>
      <w:ind w:left="720"/>
      <w:contextualSpacing/>
    </w:pPr>
  </w:style>
  <w:style w:type="character" w:customStyle="1" w:styleId="TabtotChar">
    <w:name w:val="Tab_tot Char"/>
    <w:basedOn w:val="TabcorpoChar"/>
    <w:link w:val="Tabtot"/>
    <w:rsid w:val="00776FD3"/>
    <w:rPr>
      <w:b/>
      <w:color w:val="404040" w:themeColor="text1" w:themeTint="BF"/>
      <w:szCs w:val="24"/>
    </w:rPr>
  </w:style>
  <w:style w:type="paragraph" w:customStyle="1" w:styleId="biblio">
    <w:name w:val="biblio"/>
    <w:basedOn w:val="Normal"/>
    <w:rsid w:val="00220B1F"/>
    <w:pPr>
      <w:spacing w:before="120" w:after="120" w:line="240" w:lineRule="auto"/>
      <w:ind w:left="709" w:hanging="709"/>
    </w:pPr>
    <w:rPr>
      <w:szCs w:val="20"/>
    </w:rPr>
  </w:style>
  <w:style w:type="table" w:styleId="Table3Deffects3">
    <w:name w:val="Table 3D effects 3"/>
    <w:basedOn w:val="TableNormal"/>
    <w:rsid w:val="00174E3C"/>
    <w:pPr>
      <w:spacing w:line="36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1">
    <w:name w:val="Light Shading Accent 1"/>
    <w:basedOn w:val="TableNormal"/>
    <w:uiPriority w:val="60"/>
    <w:rsid w:val="00174E3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AA525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oces.mctes.pt/?id_categoria=47&amp;id_item=95451&amp;pasta=6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gif"/><Relationship Id="rId17" Type="http://schemas.openxmlformats.org/officeDocument/2006/relationships/hyperlink" Target="http://www.oei.org.es/homologaciones/portug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peari.mctes.pt/?idc=172&amp;idt=23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D090-DB02-427D-B4ED-9BB417AC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37</Pages>
  <Words>8434</Words>
  <Characters>52212</Characters>
  <Application>Microsoft Office Word</Application>
  <DocSecurity>0</DocSecurity>
  <Lines>435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RELATÓRIO : ENSINO SUPERIOR NOS PAÍSES IBERO-AMERICANOS</vt:lpstr>
    </vt:vector>
  </TitlesOfParts>
  <Company>Particular</Company>
  <LinksUpToDate>false</LinksUpToDate>
  <CharactersWithSpaces>60525</CharactersWithSpaces>
  <SharedDoc>false</SharedDoc>
  <HLinks>
    <vt:vector size="546" baseType="variant">
      <vt:variant>
        <vt:i4>1245196</vt:i4>
      </vt:variant>
      <vt:variant>
        <vt:i4>645</vt:i4>
      </vt:variant>
      <vt:variant>
        <vt:i4>0</vt:i4>
      </vt:variant>
      <vt:variant>
        <vt:i4>5</vt:i4>
      </vt:variant>
      <vt:variant>
        <vt:lpwstr>http://www.oces.mctes.pt/?id_categoria=47&amp;id_item=95451&amp;pasta=61</vt:lpwstr>
      </vt:variant>
      <vt:variant>
        <vt:lpwstr/>
      </vt:variant>
      <vt:variant>
        <vt:i4>4784156</vt:i4>
      </vt:variant>
      <vt:variant>
        <vt:i4>642</vt:i4>
      </vt:variant>
      <vt:variant>
        <vt:i4>0</vt:i4>
      </vt:variant>
      <vt:variant>
        <vt:i4>5</vt:i4>
      </vt:variant>
      <vt:variant>
        <vt:lpwstr>http://www.oei.org.es/homologaciones/portugal.pdf</vt:lpwstr>
      </vt:variant>
      <vt:variant>
        <vt:lpwstr/>
      </vt:variant>
      <vt:variant>
        <vt:i4>1048629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_Toc152564037</vt:lpwstr>
      </vt:variant>
      <vt:variant>
        <vt:i4>1048629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_Toc152564036</vt:lpwstr>
      </vt:variant>
      <vt:variant>
        <vt:i4>1048629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_Toc152564035</vt:lpwstr>
      </vt:variant>
      <vt:variant>
        <vt:i4>1048629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_Toc152564034</vt:lpwstr>
      </vt:variant>
      <vt:variant>
        <vt:i4>1048629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_Toc152564033</vt:lpwstr>
      </vt:variant>
      <vt:variant>
        <vt:i4>1048629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_Toc152564032</vt:lpwstr>
      </vt:variant>
      <vt:variant>
        <vt:i4>1048629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_Toc152564031</vt:lpwstr>
      </vt:variant>
      <vt:variant>
        <vt:i4>1048629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_Toc152564030</vt:lpwstr>
      </vt:variant>
      <vt:variant>
        <vt:i4>1114165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_Toc152564029</vt:lpwstr>
      </vt:variant>
      <vt:variant>
        <vt:i4>1114165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_Toc152564028</vt:lpwstr>
      </vt:variant>
      <vt:variant>
        <vt:i4>1114165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_Toc152564027</vt:lpwstr>
      </vt:variant>
      <vt:variant>
        <vt:i4>1114165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_Toc152564026</vt:lpwstr>
      </vt:variant>
      <vt:variant>
        <vt:i4>1114165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_Toc152564025</vt:lpwstr>
      </vt:variant>
      <vt:variant>
        <vt:i4>1114165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_Toc152564024</vt:lpwstr>
      </vt:variant>
      <vt:variant>
        <vt:i4>1114165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_Toc152564023</vt:lpwstr>
      </vt:variant>
      <vt:variant>
        <vt:i4>1114165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_Toc152564022</vt:lpwstr>
      </vt:variant>
      <vt:variant>
        <vt:i4>1114165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_Toc152564021</vt:lpwstr>
      </vt:variant>
      <vt:variant>
        <vt:i4>1114165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_Toc152564020</vt:lpwstr>
      </vt:variant>
      <vt:variant>
        <vt:i4>1179701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_Toc152564019</vt:lpwstr>
      </vt:variant>
      <vt:variant>
        <vt:i4>1179701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_Toc152564018</vt:lpwstr>
      </vt:variant>
      <vt:variant>
        <vt:i4>1179701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_Toc152564017</vt:lpwstr>
      </vt:variant>
      <vt:variant>
        <vt:i4>1179701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_Toc152564016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_Toc152564015</vt:lpwstr>
      </vt:variant>
      <vt:variant>
        <vt:i4>1179701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_Toc152564014</vt:lpwstr>
      </vt:variant>
      <vt:variant>
        <vt:i4>1179701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_Toc152564013</vt:lpwstr>
      </vt:variant>
      <vt:variant>
        <vt:i4>1179701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_Toc152564012</vt:lpwstr>
      </vt:variant>
      <vt:variant>
        <vt:i4>1179701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_Toc152564011</vt:lpwstr>
      </vt:variant>
      <vt:variant>
        <vt:i4>1179701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_Toc152564010</vt:lpwstr>
      </vt:variant>
      <vt:variant>
        <vt:i4>1245237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_Toc152564009</vt:lpwstr>
      </vt:variant>
      <vt:variant>
        <vt:i4>1245237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_Toc152564008</vt:lpwstr>
      </vt:variant>
      <vt:variant>
        <vt:i4>1245237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_Toc152564007</vt:lpwstr>
      </vt:variant>
      <vt:variant>
        <vt:i4>1245237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_Toc152564006</vt:lpwstr>
      </vt:variant>
      <vt:variant>
        <vt:i4>1245237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_Toc152564005</vt:lpwstr>
      </vt:variant>
      <vt:variant>
        <vt:i4>1572916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_Toc151438766</vt:lpwstr>
      </vt:variant>
      <vt:variant>
        <vt:i4>1572916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_Toc151438765</vt:lpwstr>
      </vt:variant>
      <vt:variant>
        <vt:i4>1572916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_Toc151438764</vt:lpwstr>
      </vt:variant>
      <vt:variant>
        <vt:i4>1572916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_Toc151438763</vt:lpwstr>
      </vt:variant>
      <vt:variant>
        <vt:i4>1572916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_Toc151438762</vt:lpwstr>
      </vt:variant>
      <vt:variant>
        <vt:i4>1572916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_Toc151438761</vt:lpwstr>
      </vt:variant>
      <vt:variant>
        <vt:i4>1572916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_Toc151438760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_Toc151438759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_Toc151438758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_Toc151438757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_Toc151438756</vt:lpwstr>
      </vt:variant>
      <vt:variant>
        <vt:i4>1769524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_Toc151438755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_Toc151438754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_Toc151438753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_Toc151438752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_Toc151438751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_Toc151438750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_Toc151438749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_Toc151438748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_Toc151438747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_Toc151438746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_Toc151438745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_Toc151438744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_Toc151438743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_Toc151438742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_Toc151438741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_Toc151438740</vt:lpwstr>
      </vt:variant>
      <vt:variant>
        <vt:i4>1900596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_Toc151438739</vt:lpwstr>
      </vt:variant>
      <vt:variant>
        <vt:i4>1900596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_Toc151438738</vt:lpwstr>
      </vt:variant>
      <vt:variant>
        <vt:i4>1900596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_Toc151438737</vt:lpwstr>
      </vt:variant>
      <vt:variant>
        <vt:i4>1900596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_Toc151438736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_Toc151438735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_Toc151438734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_Toc151438733</vt:lpwstr>
      </vt:variant>
      <vt:variant>
        <vt:i4>1900596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_Toc151438732</vt:lpwstr>
      </vt:variant>
      <vt:variant>
        <vt:i4>1900596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_Toc151438731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_Toc151438730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_Toc151438729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_Toc151438728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_Toc151438727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_Toc151438726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_Toc151438725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_Toc151438724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_Toc151438723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_Toc151438722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_Toc151438721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_Toc151438720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_Toc151438719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_Toc151438718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_Toc151438717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_Toc151438716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_Toc151438715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_Toc151438714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_Toc151438713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_Toc151438712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_Toc151438711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: ENSINO SUPERIOR NOS PAÍSES IBERO-AMERICANOS</dc:title>
  <dc:subject/>
  <dc:creator>João Patrício</dc:creator>
  <cp:keywords/>
  <dc:description/>
  <cp:lastModifiedBy>Rui Mendes</cp:lastModifiedBy>
  <cp:revision>38</cp:revision>
  <cp:lastPrinted>2006-11-29T10:47:00Z</cp:lastPrinted>
  <dcterms:created xsi:type="dcterms:W3CDTF">2011-04-14T10:11:00Z</dcterms:created>
  <dcterms:modified xsi:type="dcterms:W3CDTF">2011-04-15T19:36:00Z</dcterms:modified>
</cp:coreProperties>
</file>